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89"/>
        <w:ind w:left="3594" w:right="3589" w:firstLine="0"/>
        <w:jc w:val="center"/>
        <w:rPr>
          <w:b/>
          <w:sz w:val="28"/>
        </w:rPr>
      </w:pPr>
      <w:r>
        <w:rPr>
          <w:b/>
          <w:color w:val="212121"/>
          <w:spacing w:val="-3"/>
          <w:sz w:val="28"/>
          <w:u w:val="thick" w:color="212121"/>
        </w:rPr>
        <w:t>COMUNICATO</w:t>
      </w:r>
      <w:r>
        <w:rPr>
          <w:b/>
          <w:color w:val="212121"/>
          <w:spacing w:val="-15"/>
          <w:sz w:val="28"/>
          <w:u w:val="thick" w:color="212121"/>
        </w:rPr>
        <w:t> </w:t>
      </w:r>
      <w:r>
        <w:rPr>
          <w:b/>
          <w:color w:val="212121"/>
          <w:spacing w:val="-3"/>
          <w:sz w:val="28"/>
          <w:u w:val="thick" w:color="212121"/>
        </w:rPr>
        <w:t>STAMPA</w:t>
      </w:r>
    </w:p>
    <w:p>
      <w:pPr>
        <w:pStyle w:val="BodyText"/>
        <w:rPr>
          <w:b/>
          <w:sz w:val="30"/>
        </w:rPr>
      </w:pPr>
    </w:p>
    <w:p>
      <w:pPr>
        <w:pStyle w:val="Title"/>
        <w:spacing w:line="302" w:lineRule="auto"/>
      </w:pPr>
      <w:r>
        <w:rPr>
          <w:color w:val="212121"/>
        </w:rPr>
        <w:t>PIANIFICAZIONE</w:t>
      </w:r>
      <w:r>
        <w:rPr>
          <w:color w:val="212121"/>
          <w:spacing w:val="8"/>
        </w:rPr>
        <w:t> </w:t>
      </w:r>
      <w:r>
        <w:rPr>
          <w:color w:val="212121"/>
        </w:rPr>
        <w:t>CONDIVISA</w:t>
      </w:r>
      <w:r>
        <w:rPr>
          <w:color w:val="212121"/>
          <w:spacing w:val="-8"/>
        </w:rPr>
        <w:t> </w:t>
      </w:r>
      <w:r>
        <w:rPr>
          <w:color w:val="212121"/>
        </w:rPr>
        <w:t>DELLE</w:t>
      </w:r>
      <w:r>
        <w:rPr>
          <w:color w:val="212121"/>
          <w:spacing w:val="9"/>
        </w:rPr>
        <w:t> </w:t>
      </w:r>
      <w:r>
        <w:rPr>
          <w:color w:val="212121"/>
        </w:rPr>
        <w:t>CURE,</w:t>
      </w:r>
      <w:r>
        <w:rPr>
          <w:color w:val="212121"/>
          <w:spacing w:val="1"/>
        </w:rPr>
        <w:t> </w:t>
      </w:r>
      <w:r>
        <w:rPr>
          <w:color w:val="212121"/>
          <w:spacing w:val="-4"/>
        </w:rPr>
        <w:t>FORMAZIONE</w:t>
      </w:r>
      <w:r>
        <w:rPr>
          <w:color w:val="212121"/>
          <w:spacing w:val="-1"/>
        </w:rPr>
        <w:t> </w:t>
      </w:r>
      <w:r>
        <w:rPr>
          <w:color w:val="212121"/>
          <w:spacing w:val="-4"/>
        </w:rPr>
        <w:t>D’AVANGUARDIA</w:t>
      </w:r>
      <w:r>
        <w:rPr>
          <w:color w:val="212121"/>
          <w:spacing w:val="-18"/>
        </w:rPr>
        <w:t> </w:t>
      </w:r>
      <w:r>
        <w:rPr>
          <w:color w:val="212121"/>
          <w:spacing w:val="-3"/>
        </w:rPr>
        <w:t>PER</w:t>
      </w:r>
      <w:r>
        <w:rPr>
          <w:color w:val="212121"/>
          <w:spacing w:val="-1"/>
        </w:rPr>
        <w:t> </w:t>
      </w:r>
      <w:r>
        <w:rPr>
          <w:color w:val="212121"/>
          <w:spacing w:val="-3"/>
        </w:rPr>
        <w:t>GLI</w:t>
      </w:r>
      <w:r>
        <w:rPr>
          <w:color w:val="212121"/>
          <w:spacing w:val="-1"/>
        </w:rPr>
        <w:t> </w:t>
      </w:r>
      <w:r>
        <w:rPr>
          <w:color w:val="212121"/>
          <w:spacing w:val="-3"/>
        </w:rPr>
        <w:t>OPERATORI</w:t>
      </w:r>
      <w:r>
        <w:rPr>
          <w:color w:val="212121"/>
          <w:spacing w:val="-1"/>
        </w:rPr>
        <w:t> </w:t>
      </w:r>
      <w:r>
        <w:rPr>
          <w:color w:val="212121"/>
          <w:spacing w:val="-3"/>
        </w:rPr>
        <w:t>IOV</w:t>
      </w:r>
    </w:p>
    <w:p>
      <w:pPr>
        <w:pStyle w:val="BodyText"/>
        <w:spacing w:before="5"/>
        <w:rPr>
          <w:b/>
          <w:sz w:val="47"/>
        </w:rPr>
      </w:pPr>
    </w:p>
    <w:p>
      <w:pPr>
        <w:pStyle w:val="BodyText"/>
        <w:spacing w:line="300" w:lineRule="auto"/>
        <w:ind w:left="110" w:right="105"/>
        <w:jc w:val="both"/>
      </w:pPr>
      <w:r>
        <w:rPr>
          <w:color w:val="212121"/>
        </w:rPr>
        <w:t>Padova,</w:t>
      </w:r>
      <w:r>
        <w:rPr>
          <w:color w:val="212121"/>
          <w:spacing w:val="1"/>
        </w:rPr>
        <w:t> </w:t>
      </w:r>
      <w:r>
        <w:rPr>
          <w:color w:val="212121"/>
        </w:rPr>
        <w:t>20</w:t>
      </w:r>
      <w:r>
        <w:rPr>
          <w:color w:val="212121"/>
          <w:spacing w:val="1"/>
        </w:rPr>
        <w:t> </w:t>
      </w:r>
      <w:r>
        <w:rPr>
          <w:color w:val="212121"/>
        </w:rPr>
        <w:t>ottobre</w:t>
      </w:r>
      <w:r>
        <w:rPr>
          <w:color w:val="212121"/>
          <w:spacing w:val="1"/>
        </w:rPr>
        <w:t> </w:t>
      </w:r>
      <w:r>
        <w:rPr>
          <w:color w:val="212121"/>
        </w:rPr>
        <w:t>2022.</w:t>
      </w:r>
      <w:r>
        <w:rPr>
          <w:color w:val="212121"/>
          <w:spacing w:val="1"/>
        </w:rPr>
        <w:t> </w:t>
      </w:r>
      <w:r>
        <w:rPr>
          <w:color w:val="202024"/>
        </w:rPr>
        <w:t>La</w:t>
      </w:r>
      <w:r>
        <w:rPr>
          <w:color w:val="202024"/>
          <w:spacing w:val="1"/>
        </w:rPr>
        <w:t> </w:t>
      </w:r>
      <w:r>
        <w:rPr>
          <w:color w:val="202024"/>
        </w:rPr>
        <w:t>pianificazione</w:t>
      </w:r>
      <w:r>
        <w:rPr>
          <w:color w:val="202024"/>
          <w:spacing w:val="1"/>
        </w:rPr>
        <w:t> </w:t>
      </w:r>
      <w:r>
        <w:rPr>
          <w:color w:val="202024"/>
        </w:rPr>
        <w:t>condivisa</w:t>
      </w:r>
      <w:r>
        <w:rPr>
          <w:color w:val="202024"/>
          <w:spacing w:val="1"/>
        </w:rPr>
        <w:t> </w:t>
      </w:r>
      <w:r>
        <w:rPr>
          <w:color w:val="202024"/>
        </w:rPr>
        <w:t>delle</w:t>
      </w:r>
      <w:r>
        <w:rPr>
          <w:color w:val="202024"/>
          <w:spacing w:val="1"/>
        </w:rPr>
        <w:t> </w:t>
      </w:r>
      <w:r>
        <w:rPr>
          <w:color w:val="202024"/>
        </w:rPr>
        <w:t>cure</w:t>
      </w:r>
      <w:r>
        <w:rPr>
          <w:color w:val="202024"/>
          <w:spacing w:val="1"/>
        </w:rPr>
        <w:t> </w:t>
      </w:r>
      <w:r>
        <w:rPr>
          <w:color w:val="202024"/>
        </w:rPr>
        <w:t>è</w:t>
      </w:r>
      <w:r>
        <w:rPr>
          <w:color w:val="202024"/>
          <w:spacing w:val="1"/>
        </w:rPr>
        <w:t> </w:t>
      </w:r>
      <w:r>
        <w:rPr>
          <w:color w:val="202024"/>
        </w:rPr>
        <w:t>quel</w:t>
      </w:r>
      <w:r>
        <w:rPr>
          <w:color w:val="202024"/>
          <w:spacing w:val="1"/>
        </w:rPr>
        <w:t> </w:t>
      </w:r>
      <w:r>
        <w:rPr>
          <w:color w:val="202024"/>
        </w:rPr>
        <w:t>processo</w:t>
      </w:r>
      <w:r>
        <w:rPr>
          <w:color w:val="202024"/>
          <w:spacing w:val="1"/>
        </w:rPr>
        <w:t> </w:t>
      </w:r>
      <w:r>
        <w:rPr>
          <w:color w:val="202024"/>
        </w:rPr>
        <w:t>che</w:t>
      </w:r>
      <w:r>
        <w:rPr>
          <w:color w:val="202024"/>
          <w:spacing w:val="1"/>
        </w:rPr>
        <w:t> </w:t>
      </w:r>
      <w:r>
        <w:rPr>
          <w:color w:val="202024"/>
        </w:rPr>
        <w:t>si</w:t>
      </w:r>
      <w:r>
        <w:rPr>
          <w:color w:val="202024"/>
          <w:spacing w:val="1"/>
        </w:rPr>
        <w:t> </w:t>
      </w:r>
      <w:r>
        <w:rPr>
          <w:color w:val="202024"/>
        </w:rPr>
        <w:t>sviluppa</w:t>
      </w:r>
      <w:r>
        <w:rPr>
          <w:color w:val="202024"/>
          <w:spacing w:val="1"/>
        </w:rPr>
        <w:t> </w:t>
      </w:r>
      <w:r>
        <w:rPr>
          <w:color w:val="202024"/>
        </w:rPr>
        <w:t>progressivamente all'interno della relazione di cura e può essere ridiscussa e aggiornata ogniqualvolta</w:t>
      </w:r>
      <w:r>
        <w:rPr>
          <w:color w:val="202024"/>
          <w:spacing w:val="1"/>
        </w:rPr>
        <w:t> </w:t>
      </w:r>
      <w:r>
        <w:rPr>
          <w:color w:val="202024"/>
        </w:rPr>
        <w:t>intervengano</w:t>
      </w:r>
      <w:r>
        <w:rPr>
          <w:color w:val="202024"/>
          <w:spacing w:val="1"/>
        </w:rPr>
        <w:t> </w:t>
      </w:r>
      <w:r>
        <w:rPr>
          <w:color w:val="202024"/>
        </w:rPr>
        <w:t>cambiamenti delle condizioni o delle priorità del paziente. </w:t>
      </w:r>
      <w:r>
        <w:rPr>
          <w:color w:val="212121"/>
        </w:rPr>
        <w:t>Strumento fondamentale </w:t>
      </w:r>
      <w:r>
        <w:rPr>
          <w:color w:val="333333"/>
        </w:rPr>
        <w:t>per</w:t>
      </w:r>
      <w:r>
        <w:rPr>
          <w:color w:val="333333"/>
          <w:spacing w:val="1"/>
        </w:rPr>
        <w:t> </w:t>
      </w:r>
      <w:r>
        <w:rPr>
          <w:color w:val="333333"/>
        </w:rPr>
        <w:t>garantire il rispetto dell’autodeterminazione della persona malata, l’equa distribuzione delle risorse e, in</w:t>
      </w:r>
      <w:r>
        <w:rPr>
          <w:color w:val="333333"/>
          <w:spacing w:val="1"/>
        </w:rPr>
        <w:t> </w:t>
      </w:r>
      <w:r>
        <w:rPr>
          <w:color w:val="333333"/>
        </w:rPr>
        <w:t>generale,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gestione</w:t>
      </w:r>
      <w:r>
        <w:rPr>
          <w:color w:val="333333"/>
          <w:spacing w:val="1"/>
        </w:rPr>
        <w:t> </w:t>
      </w:r>
      <w:r>
        <w:rPr>
          <w:color w:val="333333"/>
        </w:rPr>
        <w:t>globale</w:t>
      </w:r>
      <w:r>
        <w:rPr>
          <w:color w:val="333333"/>
          <w:spacing w:val="1"/>
        </w:rPr>
        <w:t> </w:t>
      </w:r>
      <w:r>
        <w:rPr>
          <w:color w:val="333333"/>
        </w:rPr>
        <w:t>della</w:t>
      </w:r>
      <w:r>
        <w:rPr>
          <w:color w:val="333333"/>
          <w:spacing w:val="1"/>
        </w:rPr>
        <w:t> </w:t>
      </w:r>
      <w:r>
        <w:rPr>
          <w:color w:val="333333"/>
        </w:rPr>
        <w:t>progressioni</w:t>
      </w:r>
      <w:r>
        <w:rPr>
          <w:color w:val="333333"/>
          <w:spacing w:val="1"/>
        </w:rPr>
        <w:t> </w:t>
      </w:r>
      <w:r>
        <w:rPr>
          <w:color w:val="333333"/>
        </w:rPr>
        <w:t>dei</w:t>
      </w:r>
      <w:r>
        <w:rPr>
          <w:color w:val="333333"/>
          <w:spacing w:val="1"/>
        </w:rPr>
        <w:t> </w:t>
      </w:r>
      <w:r>
        <w:rPr>
          <w:color w:val="333333"/>
        </w:rPr>
        <w:t>quadri</w:t>
      </w:r>
      <w:r>
        <w:rPr>
          <w:color w:val="333333"/>
          <w:spacing w:val="1"/>
        </w:rPr>
        <w:t> </w:t>
      </w:r>
      <w:r>
        <w:rPr>
          <w:color w:val="333333"/>
        </w:rPr>
        <w:t>clinici e delle cronicità, la pianificazione</w:t>
      </w:r>
      <w:r>
        <w:rPr>
          <w:color w:val="333333"/>
          <w:spacing w:val="1"/>
        </w:rPr>
        <w:t> </w:t>
      </w:r>
      <w:r>
        <w:rPr>
          <w:color w:val="333333"/>
        </w:rPr>
        <w:t>condivisa delle cure è normata </w:t>
      </w:r>
      <w:r>
        <w:rPr>
          <w:color w:val="212121"/>
        </w:rPr>
        <w:t>dalla legge 219/17 che governa la formulazione del consenso informato,</w:t>
      </w:r>
      <w:r>
        <w:rPr>
          <w:color w:val="212121"/>
          <w:spacing w:val="1"/>
        </w:rPr>
        <w:t> </w:t>
      </w:r>
      <w:r>
        <w:rPr>
          <w:color w:val="212121"/>
        </w:rPr>
        <w:t>regolamentando così la relazione di cura tra professionisti sanitari e paziente. All’argomento, il Comitato</w:t>
      </w:r>
      <w:r>
        <w:rPr>
          <w:color w:val="212121"/>
          <w:spacing w:val="1"/>
        </w:rPr>
        <w:t> </w:t>
      </w:r>
      <w:r>
        <w:rPr>
          <w:color w:val="212121"/>
        </w:rPr>
        <w:t>Etico per la Pratica Clinica (CEPC) dell’Istituto Oncologico Veneto ha dedicato all’Ospedale Busonera di</w:t>
      </w:r>
      <w:r>
        <w:rPr>
          <w:color w:val="212121"/>
          <w:spacing w:val="-57"/>
        </w:rPr>
        <w:t> </w:t>
      </w:r>
      <w:r>
        <w:rPr>
          <w:color w:val="212121"/>
        </w:rPr>
        <w:t>Padova un incontro ECM riservato agli operatori IOV, che ha registrato il tutto esaurito e che verrà</w:t>
      </w:r>
      <w:r>
        <w:rPr>
          <w:color w:val="212121"/>
          <w:spacing w:val="1"/>
        </w:rPr>
        <w:t> </w:t>
      </w:r>
      <w:r>
        <w:rPr>
          <w:color w:val="212121"/>
        </w:rPr>
        <w:t>proposto</w:t>
      </w:r>
      <w:r>
        <w:rPr>
          <w:color w:val="212121"/>
          <w:spacing w:val="-1"/>
        </w:rPr>
        <w:t> </w:t>
      </w:r>
      <w:r>
        <w:rPr>
          <w:color w:val="212121"/>
        </w:rPr>
        <w:t>il</w:t>
      </w:r>
      <w:r>
        <w:rPr>
          <w:color w:val="212121"/>
          <w:spacing w:val="-1"/>
        </w:rPr>
        <w:t> </w:t>
      </w:r>
      <w:r>
        <w:rPr>
          <w:color w:val="212121"/>
        </w:rPr>
        <w:t>28</w:t>
      </w:r>
      <w:r>
        <w:rPr>
          <w:color w:val="212121"/>
          <w:spacing w:val="-1"/>
        </w:rPr>
        <w:t> </w:t>
      </w:r>
      <w:r>
        <w:rPr>
          <w:color w:val="212121"/>
        </w:rPr>
        <w:t>novembre anche</w:t>
      </w:r>
      <w:r>
        <w:rPr>
          <w:color w:val="212121"/>
          <w:spacing w:val="-1"/>
        </w:rPr>
        <w:t> </w:t>
      </w:r>
      <w:r>
        <w:rPr>
          <w:color w:val="212121"/>
        </w:rPr>
        <w:t>nella</w:t>
      </w:r>
      <w:r>
        <w:rPr>
          <w:color w:val="212121"/>
          <w:spacing w:val="-1"/>
        </w:rPr>
        <w:t> </w:t>
      </w:r>
      <w:r>
        <w:rPr>
          <w:color w:val="212121"/>
        </w:rPr>
        <w:t>sede IOV</w:t>
      </w:r>
      <w:r>
        <w:rPr>
          <w:color w:val="212121"/>
          <w:spacing w:val="-6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Castelfranco</w:t>
      </w:r>
      <w:r>
        <w:rPr>
          <w:color w:val="212121"/>
          <w:spacing w:val="-5"/>
        </w:rPr>
        <w:t> </w:t>
      </w:r>
      <w:r>
        <w:rPr>
          <w:color w:val="212121"/>
        </w:rPr>
        <w:t>Veneto</w:t>
      </w:r>
      <w:r>
        <w:rPr>
          <w:color w:val="212121"/>
          <w:spacing w:val="-1"/>
        </w:rPr>
        <w:t> </w:t>
      </w:r>
      <w:r>
        <w:rPr>
          <w:color w:val="212121"/>
        </w:rPr>
        <w:t>(Treviso).</w:t>
      </w:r>
    </w:p>
    <w:p>
      <w:pPr>
        <w:pStyle w:val="BodyText"/>
        <w:spacing w:line="300" w:lineRule="auto" w:before="195"/>
        <w:ind w:left="110" w:right="105"/>
        <w:jc w:val="both"/>
      </w:pPr>
      <w:r>
        <w:rPr>
          <w:rFonts w:ascii="Arial MT" w:hAnsi="Arial MT"/>
          <w:color w:val="212121"/>
          <w:sz w:val="22"/>
        </w:rPr>
        <w:t>“</w:t>
      </w:r>
      <w:r>
        <w:rPr>
          <w:color w:val="212121"/>
        </w:rPr>
        <w:t>Il tema è stato trattato innanzitutto dal punto di vista generale secondo le indicazioni di legge, poi sono</w:t>
      </w:r>
      <w:r>
        <w:rPr>
          <w:color w:val="212121"/>
          <w:spacing w:val="1"/>
        </w:rPr>
        <w:t> </w:t>
      </w:r>
      <w:r>
        <w:rPr>
          <w:color w:val="212121"/>
        </w:rPr>
        <w:t>state presentate alcune esperienze di applicazione, inoltre si è approfondito il modello organizzativo delle</w:t>
      </w:r>
      <w:r>
        <w:rPr>
          <w:color w:val="212121"/>
          <w:spacing w:val="1"/>
        </w:rPr>
        <w:t> </w:t>
      </w:r>
      <w:r>
        <w:rPr>
          <w:color w:val="212121"/>
        </w:rPr>
        <w:t>cure simultanee attualmente applicato in sede IOV. La riflessione ha quindi riguardato – rendiconta il</w:t>
      </w:r>
      <w:r>
        <w:rPr>
          <w:color w:val="212121"/>
          <w:spacing w:val="1"/>
        </w:rPr>
        <w:t> </w:t>
      </w:r>
      <w:r>
        <w:rPr>
          <w:color w:val="212121"/>
        </w:rPr>
        <w:t>Professor Daniele Rodriguez, bioeticista, presidente del CEPC – le interconnessioni tra pianificazione e</w:t>
      </w:r>
      <w:r>
        <w:rPr>
          <w:color w:val="212121"/>
          <w:spacing w:val="1"/>
        </w:rPr>
        <w:t> </w:t>
      </w:r>
      <w:r>
        <w:rPr>
          <w:color w:val="212121"/>
        </w:rPr>
        <w:t>cure</w:t>
      </w:r>
      <w:r>
        <w:rPr>
          <w:color w:val="212121"/>
          <w:spacing w:val="1"/>
        </w:rPr>
        <w:t> </w:t>
      </w:r>
      <w:r>
        <w:rPr>
          <w:color w:val="212121"/>
        </w:rPr>
        <w:t>simultanee.</w:t>
      </w:r>
      <w:r>
        <w:rPr>
          <w:color w:val="212121"/>
          <w:spacing w:val="1"/>
        </w:rPr>
        <w:t> </w:t>
      </w:r>
      <w:r>
        <w:rPr>
          <w:color w:val="212121"/>
        </w:rPr>
        <w:t>All’orizzonte</w:t>
      </w:r>
      <w:r>
        <w:rPr>
          <w:color w:val="212121"/>
          <w:spacing w:val="1"/>
        </w:rPr>
        <w:t> </w:t>
      </w:r>
      <w:r>
        <w:rPr>
          <w:color w:val="212121"/>
        </w:rPr>
        <w:t>c’è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costituzione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un</w:t>
      </w:r>
      <w:r>
        <w:rPr>
          <w:color w:val="212121"/>
          <w:spacing w:val="1"/>
        </w:rPr>
        <w:t> </w:t>
      </w:r>
      <w:r>
        <w:rPr>
          <w:color w:val="212121"/>
        </w:rPr>
        <w:t>gruppo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studio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formulerà</w:t>
      </w:r>
      <w:r>
        <w:rPr>
          <w:color w:val="212121"/>
          <w:spacing w:val="1"/>
        </w:rPr>
        <w:t> </w:t>
      </w:r>
      <w:r>
        <w:rPr>
          <w:color w:val="212121"/>
        </w:rPr>
        <w:t>proposte e</w:t>
      </w:r>
      <w:r>
        <w:rPr>
          <w:color w:val="212121"/>
          <w:spacing w:val="1"/>
        </w:rPr>
        <w:t> </w:t>
      </w:r>
      <w:r>
        <w:rPr>
          <w:color w:val="212121"/>
        </w:rPr>
        <w:t>procedure</w:t>
      </w:r>
      <w:r>
        <w:rPr>
          <w:color w:val="212121"/>
          <w:spacing w:val="1"/>
        </w:rPr>
        <w:t> </w:t>
      </w:r>
      <w:r>
        <w:rPr>
          <w:color w:val="212121"/>
        </w:rPr>
        <w:t>atte</w:t>
      </w:r>
      <w:r>
        <w:rPr>
          <w:color w:val="212121"/>
          <w:spacing w:val="1"/>
        </w:rPr>
        <w:t> </w:t>
      </w:r>
      <w:r>
        <w:rPr>
          <w:color w:val="212121"/>
        </w:rPr>
        <w:t>a garantire la realizzazione della pianificazione delle cure nel modo più efficace, per</w:t>
      </w:r>
      <w:r>
        <w:rPr>
          <w:color w:val="212121"/>
          <w:spacing w:val="1"/>
        </w:rPr>
        <w:t> </w:t>
      </w:r>
      <w:r>
        <w:rPr>
          <w:color w:val="212121"/>
        </w:rPr>
        <w:t>migliorare</w:t>
      </w:r>
      <w:r>
        <w:rPr>
          <w:color w:val="212121"/>
          <w:spacing w:val="1"/>
        </w:rPr>
        <w:t> </w:t>
      </w:r>
      <w:r>
        <w:rPr>
          <w:color w:val="212121"/>
        </w:rPr>
        <w:t>ed</w:t>
      </w:r>
      <w:r>
        <w:rPr>
          <w:color w:val="212121"/>
          <w:spacing w:val="1"/>
        </w:rPr>
        <w:t> </w:t>
      </w:r>
      <w:r>
        <w:rPr>
          <w:color w:val="212121"/>
        </w:rPr>
        <w:t>armonizzare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risposta</w:t>
      </w:r>
      <w:r>
        <w:rPr>
          <w:color w:val="212121"/>
          <w:spacing w:val="1"/>
        </w:rPr>
        <w:t> </w:t>
      </w:r>
      <w:r>
        <w:rPr>
          <w:color w:val="212121"/>
        </w:rPr>
        <w:t>dello</w:t>
      </w:r>
      <w:r>
        <w:rPr>
          <w:color w:val="212121"/>
          <w:spacing w:val="1"/>
        </w:rPr>
        <w:t> </w:t>
      </w:r>
      <w:r>
        <w:rPr>
          <w:color w:val="212121"/>
        </w:rPr>
        <w:t>IOV</w:t>
      </w:r>
      <w:r>
        <w:rPr>
          <w:color w:val="212121"/>
          <w:spacing w:val="1"/>
        </w:rPr>
        <w:t> </w:t>
      </w:r>
      <w:r>
        <w:rPr>
          <w:color w:val="212121"/>
        </w:rPr>
        <w:t>alle</w:t>
      </w:r>
      <w:r>
        <w:rPr>
          <w:color w:val="212121"/>
          <w:spacing w:val="1"/>
        </w:rPr>
        <w:t> </w:t>
      </w:r>
      <w:r>
        <w:rPr>
          <w:color w:val="212121"/>
        </w:rPr>
        <w:t>necessità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pazienti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delle</w:t>
      </w:r>
      <w:r>
        <w:rPr>
          <w:color w:val="212121"/>
          <w:spacing w:val="1"/>
        </w:rPr>
        <w:t> </w:t>
      </w:r>
      <w:r>
        <w:rPr>
          <w:color w:val="212121"/>
        </w:rPr>
        <w:t>persone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li</w:t>
      </w:r>
      <w:r>
        <w:rPr>
          <w:color w:val="212121"/>
          <w:spacing w:val="1"/>
        </w:rPr>
        <w:t> </w:t>
      </w:r>
      <w:r>
        <w:rPr>
          <w:color w:val="212121"/>
        </w:rPr>
        <w:t>sostengono, anche nell’ottica di un miglior coordinamento interno e rispetto al territorio. In programma</w:t>
      </w:r>
      <w:r>
        <w:rPr>
          <w:color w:val="212121"/>
          <w:spacing w:val="1"/>
        </w:rPr>
        <w:t> </w:t>
      </w:r>
      <w:r>
        <w:rPr>
          <w:color w:val="212121"/>
        </w:rPr>
        <w:t>l’anno prossimo anche un convegno aperto alla popolazione sulla pianificazione condivisa delle cure e le</w:t>
      </w:r>
      <w:r>
        <w:rPr>
          <w:color w:val="212121"/>
          <w:spacing w:val="1"/>
        </w:rPr>
        <w:t> </w:t>
      </w:r>
      <w:r>
        <w:rPr>
          <w:color w:val="212121"/>
        </w:rPr>
        <w:t>cure simultanee”.</w:t>
      </w:r>
    </w:p>
    <w:p>
      <w:pPr>
        <w:pStyle w:val="BodyText"/>
        <w:spacing w:line="297" w:lineRule="auto" w:before="195"/>
        <w:ind w:left="110" w:right="104"/>
        <w:jc w:val="both"/>
      </w:pPr>
      <w:r>
        <w:rPr>
          <w:color w:val="212121"/>
        </w:rPr>
        <w:t>"La formazione del personale è un ambito nel quale crediamo e investiamo molto - sottolinea il Direttore</w:t>
      </w:r>
      <w:r>
        <w:rPr>
          <w:color w:val="212121"/>
          <w:spacing w:val="1"/>
        </w:rPr>
        <w:t> </w:t>
      </w:r>
      <w:r>
        <w:rPr>
          <w:color w:val="212121"/>
        </w:rPr>
        <w:t>generale dello IOV - IRCCS, Patrizia Benini - ed è molto utile proporre incontri di aggiornamento come</w:t>
      </w:r>
      <w:r>
        <w:rPr>
          <w:color w:val="212121"/>
          <w:spacing w:val="1"/>
        </w:rPr>
        <w:t> </w:t>
      </w:r>
      <w:r>
        <w:rPr>
          <w:color w:val="212121"/>
        </w:rPr>
        <w:t>questo,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allineano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sistema</w:t>
      </w:r>
      <w:r>
        <w:rPr>
          <w:color w:val="212121"/>
          <w:spacing w:val="1"/>
        </w:rPr>
        <w:t> </w:t>
      </w:r>
      <w:r>
        <w:rPr>
          <w:color w:val="212121"/>
        </w:rPr>
        <w:t>alle</w:t>
      </w:r>
      <w:r>
        <w:rPr>
          <w:color w:val="212121"/>
          <w:spacing w:val="1"/>
        </w:rPr>
        <w:t> </w:t>
      </w:r>
      <w:r>
        <w:rPr>
          <w:color w:val="212121"/>
        </w:rPr>
        <w:t>più</w:t>
      </w:r>
      <w:r>
        <w:rPr>
          <w:color w:val="212121"/>
          <w:spacing w:val="1"/>
        </w:rPr>
        <w:t> </w:t>
      </w:r>
      <w:r>
        <w:rPr>
          <w:color w:val="212121"/>
        </w:rPr>
        <w:t>recenti</w:t>
      </w:r>
      <w:r>
        <w:rPr>
          <w:color w:val="212121"/>
          <w:spacing w:val="1"/>
        </w:rPr>
        <w:t> </w:t>
      </w:r>
      <w:r>
        <w:rPr>
          <w:color w:val="212121"/>
        </w:rPr>
        <w:t>novità</w:t>
      </w:r>
      <w:r>
        <w:rPr>
          <w:color w:val="212121"/>
          <w:spacing w:val="1"/>
        </w:rPr>
        <w:t> </w:t>
      </w:r>
      <w:r>
        <w:rPr>
          <w:color w:val="212121"/>
        </w:rPr>
        <w:t>normative,</w:t>
      </w:r>
      <w:r>
        <w:rPr>
          <w:color w:val="212121"/>
          <w:spacing w:val="1"/>
        </w:rPr>
        <w:t> </w:t>
      </w:r>
      <w:r>
        <w:rPr>
          <w:color w:val="212121"/>
        </w:rPr>
        <w:t>soprattutto su un argomento così</w:t>
      </w:r>
      <w:r>
        <w:rPr>
          <w:color w:val="212121"/>
          <w:spacing w:val="1"/>
        </w:rPr>
        <w:t> </w:t>
      </w:r>
      <w:r>
        <w:rPr>
          <w:color w:val="212121"/>
        </w:rPr>
        <w:t>importante e delicato qual è il risvolto etico della pratica clinica".</w:t>
      </w:r>
    </w:p>
    <w:p>
      <w:pPr>
        <w:spacing w:after="0" w:line="297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00" w:lineRule="auto" w:before="207"/>
        <w:ind w:left="110" w:right="103"/>
        <w:jc w:val="both"/>
      </w:pP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Comitato</w:t>
      </w:r>
      <w:r>
        <w:rPr>
          <w:color w:val="212121"/>
          <w:spacing w:val="1"/>
        </w:rPr>
        <w:t> </w:t>
      </w:r>
      <w:r>
        <w:rPr>
          <w:color w:val="212121"/>
        </w:rPr>
        <w:t>etico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pratica clinica (CEPC) dell’Istituto Oncologico Veneto svolge una funzione</w:t>
      </w:r>
      <w:r>
        <w:rPr>
          <w:color w:val="212121"/>
          <w:spacing w:val="1"/>
        </w:rPr>
        <w:t> </w:t>
      </w:r>
      <w:r>
        <w:rPr>
          <w:color w:val="212121"/>
        </w:rPr>
        <w:t>consultiva in relazione ai profili etici delle decisioni sanitarie e socio assistenziali, con l’obiettivo di</w:t>
      </w:r>
      <w:r>
        <w:rPr>
          <w:color w:val="212121"/>
          <w:spacing w:val="1"/>
        </w:rPr>
        <w:t> </w:t>
      </w:r>
      <w:r>
        <w:rPr>
          <w:color w:val="212121"/>
        </w:rPr>
        <w:t>salvaguardare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promuovere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diritto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salute,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qualità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l’umanizzazione</w:t>
      </w:r>
      <w:r>
        <w:rPr>
          <w:color w:val="212121"/>
          <w:spacing w:val="1"/>
        </w:rPr>
        <w:t> </w:t>
      </w:r>
      <w:r>
        <w:rPr>
          <w:color w:val="212121"/>
        </w:rPr>
        <w:t>dell’assistenza.</w:t>
      </w:r>
      <w:r>
        <w:rPr>
          <w:color w:val="212121"/>
          <w:spacing w:val="1"/>
        </w:rPr>
        <w:t> </w:t>
      </w:r>
      <w:r>
        <w:rPr>
          <w:color w:val="212121"/>
        </w:rPr>
        <w:t>È un</w:t>
      </w:r>
      <w:r>
        <w:rPr>
          <w:color w:val="212121"/>
          <w:spacing w:val="-57"/>
        </w:rPr>
        <w:t> </w:t>
      </w:r>
      <w:r>
        <w:rPr>
          <w:color w:val="212121"/>
        </w:rPr>
        <w:t>organismo indipendente costituito da personale sanitario e non sanitario nominato dal Direttore Generale.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CEPC</w:t>
      </w:r>
      <w:r>
        <w:rPr>
          <w:color w:val="212121"/>
          <w:spacing w:val="1"/>
        </w:rPr>
        <w:t> </w:t>
      </w:r>
      <w:r>
        <w:rPr>
          <w:color w:val="212121"/>
        </w:rPr>
        <w:t>analizza</w:t>
      </w:r>
      <w:r>
        <w:rPr>
          <w:color w:val="212121"/>
          <w:spacing w:val="1"/>
        </w:rPr>
        <w:t> </w:t>
      </w:r>
      <w:r>
        <w:rPr>
          <w:color w:val="212121"/>
        </w:rPr>
        <w:t>casi</w:t>
      </w:r>
      <w:r>
        <w:rPr>
          <w:color w:val="212121"/>
          <w:spacing w:val="1"/>
        </w:rPr>
        <w:t> </w:t>
      </w:r>
      <w:r>
        <w:rPr>
          <w:color w:val="212121"/>
        </w:rPr>
        <w:t>clinici</w:t>
      </w:r>
      <w:r>
        <w:rPr>
          <w:color w:val="212121"/>
          <w:spacing w:val="1"/>
        </w:rPr>
        <w:t> </w:t>
      </w:r>
      <w:r>
        <w:rPr>
          <w:color w:val="212121"/>
        </w:rPr>
        <w:t>specifici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situazioni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pratica</w:t>
      </w:r>
      <w:r>
        <w:rPr>
          <w:color w:val="212121"/>
          <w:spacing w:val="1"/>
        </w:rPr>
        <w:t> </w:t>
      </w:r>
      <w:r>
        <w:rPr>
          <w:color w:val="212121"/>
        </w:rPr>
        <w:t>sanitaria</w:t>
      </w:r>
      <w:r>
        <w:rPr>
          <w:color w:val="212121"/>
          <w:spacing w:val="1"/>
        </w:rPr>
        <w:t> </w:t>
      </w:r>
      <w:r>
        <w:rPr>
          <w:color w:val="212121"/>
        </w:rPr>
        <w:t>che</w:t>
      </w:r>
      <w:r>
        <w:rPr>
          <w:color w:val="212121"/>
          <w:spacing w:val="1"/>
        </w:rPr>
        <w:t> </w:t>
      </w:r>
      <w:r>
        <w:rPr>
          <w:color w:val="212121"/>
        </w:rPr>
        <w:t>pongano</w:t>
      </w:r>
      <w:r>
        <w:rPr>
          <w:color w:val="212121"/>
          <w:spacing w:val="1"/>
        </w:rPr>
        <w:t> </w:t>
      </w:r>
      <w:r>
        <w:rPr>
          <w:color w:val="212121"/>
        </w:rPr>
        <w:t>problemi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-57"/>
        </w:rPr>
        <w:t> </w:t>
      </w:r>
      <w:r>
        <w:rPr>
          <w:color w:val="212121"/>
        </w:rPr>
        <w:t>discernimento</w:t>
      </w:r>
      <w:r>
        <w:rPr>
          <w:color w:val="212121"/>
          <w:spacing w:val="1"/>
        </w:rPr>
        <w:t> </w:t>
      </w:r>
      <w:r>
        <w:rPr>
          <w:color w:val="212121"/>
        </w:rPr>
        <w:t>etico,</w:t>
      </w:r>
      <w:r>
        <w:rPr>
          <w:color w:val="212121"/>
          <w:spacing w:val="1"/>
        </w:rPr>
        <w:t> </w:t>
      </w:r>
      <w:r>
        <w:rPr>
          <w:color w:val="212121"/>
        </w:rPr>
        <w:t>su</w:t>
      </w:r>
      <w:r>
        <w:rPr>
          <w:color w:val="212121"/>
          <w:spacing w:val="1"/>
        </w:rPr>
        <w:t> </w:t>
      </w:r>
      <w:r>
        <w:rPr>
          <w:color w:val="212121"/>
        </w:rPr>
        <w:t>richiesta degli operatori delle strutture sanitarie che fanno capo allo IOV ed</w:t>
      </w:r>
      <w:r>
        <w:rPr>
          <w:color w:val="212121"/>
          <w:spacing w:val="1"/>
        </w:rPr>
        <w:t> </w:t>
      </w:r>
      <w:r>
        <w:rPr>
          <w:color w:val="212121"/>
        </w:rPr>
        <w:t>esamina questioni etiche presentate da pazienti e familiari di utenti; può affrontare quesiti, posti dalla</w:t>
      </w:r>
      <w:r>
        <w:rPr>
          <w:color w:val="212121"/>
          <w:spacing w:val="1"/>
        </w:rPr>
        <w:t> </w:t>
      </w:r>
      <w:r>
        <w:rPr>
          <w:color w:val="212121"/>
        </w:rPr>
        <w:t>Direzione dello IOV, di carattere etico-organizzativo. Il tutto, senza sostituirsi ai soggetti coinvolti –</w:t>
      </w:r>
      <w:r>
        <w:rPr>
          <w:color w:val="212121"/>
          <w:spacing w:val="1"/>
        </w:rPr>
        <w:t> </w:t>
      </w:r>
      <w:r>
        <w:rPr>
          <w:color w:val="212121"/>
        </w:rPr>
        <w:t>pazienti, operatori sanitari e famiglie o tutori – nella decisione che deve essere assunta. Il CEPC, inoltre,</w:t>
      </w:r>
      <w:r>
        <w:rPr>
          <w:color w:val="212121"/>
          <w:spacing w:val="1"/>
        </w:rPr>
        <w:t> </w:t>
      </w:r>
      <w:r>
        <w:rPr>
          <w:color w:val="212121"/>
        </w:rPr>
        <w:t>organizza iniziative di formazione e sensibilizzazione sulla bioetica e offre il proprio contributo al tema</w:t>
      </w:r>
      <w:r>
        <w:rPr>
          <w:color w:val="212121"/>
          <w:spacing w:val="1"/>
        </w:rPr>
        <w:t> </w:t>
      </w:r>
      <w:r>
        <w:rPr>
          <w:color w:val="212121"/>
        </w:rPr>
        <w:t>dell’allocazione e dell’impegno delle risorse nel Servizio Sanitario Regionale.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spacing w:line="252" w:lineRule="auto" w:before="0"/>
        <w:ind w:left="275" w:right="6169" w:firstLine="0"/>
        <w:jc w:val="left"/>
        <w:rPr>
          <w:b/>
          <w:sz w:val="26"/>
        </w:rPr>
      </w:pPr>
      <w:r>
        <w:rPr>
          <w:b/>
          <w:sz w:val="26"/>
        </w:rPr>
        <w:t>Ufficio Stampa IOV - IRCCS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Email: </w:t>
      </w:r>
      <w:hyperlink r:id="rId7">
        <w:r>
          <w:rPr>
            <w:b/>
            <w:color w:val="1154CC"/>
            <w:spacing w:val="-1"/>
            <w:sz w:val="26"/>
            <w:u w:val="thick" w:color="1154CC"/>
          </w:rPr>
          <w:t>ufficio.stampa@iov.veneto.it</w:t>
        </w:r>
      </w:hyperlink>
      <w:r>
        <w:rPr>
          <w:b/>
          <w:color w:val="1154CC"/>
          <w:spacing w:val="-62"/>
          <w:sz w:val="26"/>
        </w:rPr>
        <w:t> </w:t>
      </w:r>
      <w:r>
        <w:rPr>
          <w:b/>
          <w:sz w:val="26"/>
        </w:rPr>
        <w:t>Cell: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6121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9680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60192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60704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669" w:right="679" w:hanging="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2022-10-20T11:12:19Z</dcterms:created>
  <dcterms:modified xsi:type="dcterms:W3CDTF">2022-10-20T11:12:19Z</dcterms:modified>
</cp:coreProperties>
</file>