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78" w:rsidRDefault="00B91778" w:rsidP="00754120">
      <w:pPr>
        <w:pBdr>
          <w:top w:val="nil"/>
          <w:left w:val="nil"/>
          <w:bottom w:val="nil"/>
          <w:right w:val="nil"/>
          <w:between w:val="nil"/>
        </w:pBdr>
        <w:spacing w:before="120" w:after="120"/>
        <w:jc w:val="both"/>
        <w:rPr>
          <w:color w:val="000000"/>
          <w:sz w:val="22"/>
          <w:szCs w:val="22"/>
        </w:rPr>
      </w:pPr>
    </w:p>
    <w:p w:rsidR="00754120" w:rsidRPr="00CB0B30" w:rsidRDefault="00754120" w:rsidP="00754120">
      <w:pPr>
        <w:pBdr>
          <w:top w:val="nil"/>
          <w:left w:val="nil"/>
          <w:bottom w:val="nil"/>
          <w:right w:val="nil"/>
          <w:between w:val="nil"/>
        </w:pBdr>
        <w:spacing w:before="120" w:after="120"/>
        <w:jc w:val="both"/>
        <w:rPr>
          <w:rFonts w:asciiTheme="majorHAnsi" w:hAnsiTheme="majorHAnsi" w:cstheme="majorHAnsi"/>
          <w:b/>
          <w:color w:val="000000"/>
          <w:sz w:val="23"/>
          <w:szCs w:val="23"/>
        </w:rPr>
      </w:pPr>
      <w:r w:rsidRPr="00CB0B30">
        <w:rPr>
          <w:rFonts w:asciiTheme="majorHAnsi" w:hAnsiTheme="majorHAnsi" w:cstheme="majorHAnsi"/>
          <w:b/>
          <w:color w:val="000000"/>
          <w:sz w:val="23"/>
          <w:szCs w:val="23"/>
        </w:rPr>
        <w:t>ALLEGATO B: ISTRUZIONI PER LA PRESENTAZIONE DELLA DOMANDA.</w:t>
      </w:r>
    </w:p>
    <w:p w:rsidR="00B91778" w:rsidRPr="00CB0B30" w:rsidRDefault="00B91778" w:rsidP="00754120">
      <w:pPr>
        <w:pBdr>
          <w:top w:val="nil"/>
          <w:left w:val="nil"/>
          <w:bottom w:val="nil"/>
          <w:right w:val="nil"/>
          <w:between w:val="nil"/>
        </w:pBdr>
        <w:spacing w:before="120" w:after="12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AVVISO DI MANIFESTAZIONE DI INTERESSE PER LA RICEZIONE DI CANDIDATURE DA PARTE DI OPERATORI ECONOMICI INTERESSATI A PARTECIPARE ALLA PROCEDURA NEGOZIATA SENZA BANDO, TRAMITE PIATTAFORMA SINTEL, PER L’AFFIDAMENTO DEI LAVORI DI RESTAURO CONSERVATIVO DELLA COPERTURA DELLA PALAZZINA DI RADIOTERAPIA SEDE DELL’ISTITUTO ONCOLOGICO VENETO I.R.C.C.S. DI PADOVA.</w:t>
      </w:r>
    </w:p>
    <w:p w:rsidR="00754120" w:rsidRPr="00CB0B30" w:rsidRDefault="00754120" w:rsidP="00754120">
      <w:pPr>
        <w:pBdr>
          <w:top w:val="nil"/>
          <w:left w:val="nil"/>
          <w:bottom w:val="nil"/>
          <w:right w:val="nil"/>
          <w:between w:val="nil"/>
        </w:pBdr>
        <w:spacing w:before="120" w:after="120"/>
        <w:jc w:val="both"/>
        <w:rPr>
          <w:rFonts w:asciiTheme="majorHAnsi" w:hAnsiTheme="majorHAnsi" w:cstheme="majorHAnsi"/>
          <w:sz w:val="23"/>
          <w:szCs w:val="23"/>
        </w:rPr>
      </w:pPr>
      <w:r w:rsidRPr="00CB0B30">
        <w:rPr>
          <w:rFonts w:asciiTheme="majorHAnsi" w:hAnsiTheme="majorHAnsi" w:cstheme="majorHAnsi"/>
          <w:sz w:val="23"/>
          <w:szCs w:val="23"/>
        </w:rPr>
        <w:t xml:space="preserve">La presente manifestazione di interesse viene condotta con l’ausilio di sistemi informatici, nel rispetto della normativa vigente in materia di appalti pubblici e di strumenti telematici. </w:t>
      </w:r>
    </w:p>
    <w:p w:rsidR="00754120" w:rsidRPr="00CB0B30" w:rsidRDefault="00754120" w:rsidP="00754120">
      <w:pPr>
        <w:pBdr>
          <w:top w:val="nil"/>
          <w:left w:val="nil"/>
          <w:bottom w:val="nil"/>
          <w:right w:val="nil"/>
          <w:between w:val="nil"/>
        </w:pBdr>
        <w:spacing w:before="120" w:after="120"/>
        <w:jc w:val="both"/>
        <w:rPr>
          <w:rFonts w:asciiTheme="majorHAnsi" w:hAnsiTheme="majorHAnsi" w:cstheme="majorHAnsi"/>
          <w:sz w:val="23"/>
          <w:szCs w:val="23"/>
        </w:rPr>
      </w:pPr>
      <w:r w:rsidRPr="00CB0B30">
        <w:rPr>
          <w:rFonts w:asciiTheme="majorHAnsi" w:hAnsiTheme="majorHAnsi" w:cstheme="majorHAnsi"/>
          <w:sz w:val="23"/>
          <w:szCs w:val="23"/>
        </w:rPr>
        <w:t>L’istituto Oncologico Veneto I.R.C.C.S. utilizza il sistema di intermediazione telematica di Regione Lombardia denominato “</w:t>
      </w:r>
      <w:proofErr w:type="spellStart"/>
      <w:r w:rsidRPr="00CB0B30">
        <w:rPr>
          <w:rFonts w:asciiTheme="majorHAnsi" w:hAnsiTheme="majorHAnsi" w:cstheme="majorHAnsi"/>
          <w:sz w:val="23"/>
          <w:szCs w:val="23"/>
        </w:rPr>
        <w:t>Sintel</w:t>
      </w:r>
      <w:proofErr w:type="spellEnd"/>
      <w:r w:rsidRPr="00CB0B30">
        <w:rPr>
          <w:rFonts w:asciiTheme="majorHAnsi" w:hAnsiTheme="majorHAnsi" w:cstheme="majorHAnsi"/>
          <w:sz w:val="23"/>
          <w:szCs w:val="23"/>
        </w:rPr>
        <w:t xml:space="preserve">”, ai sensi della L.R. 33/2007 e </w:t>
      </w:r>
      <w:proofErr w:type="spellStart"/>
      <w:r w:rsidRPr="00CB0B30">
        <w:rPr>
          <w:rFonts w:asciiTheme="majorHAnsi" w:hAnsiTheme="majorHAnsi" w:cstheme="majorHAnsi"/>
          <w:sz w:val="23"/>
          <w:szCs w:val="23"/>
        </w:rPr>
        <w:t>ss.</w:t>
      </w:r>
      <w:proofErr w:type="gramStart"/>
      <w:r w:rsidRPr="00CB0B30">
        <w:rPr>
          <w:rFonts w:asciiTheme="majorHAnsi" w:hAnsiTheme="majorHAnsi" w:cstheme="majorHAnsi"/>
          <w:sz w:val="23"/>
          <w:szCs w:val="23"/>
        </w:rPr>
        <w:t>mm.ii</w:t>
      </w:r>
      <w:proofErr w:type="spellEnd"/>
      <w:r w:rsidRPr="00CB0B30">
        <w:rPr>
          <w:rFonts w:asciiTheme="majorHAnsi" w:hAnsiTheme="majorHAnsi" w:cstheme="majorHAnsi"/>
          <w:sz w:val="23"/>
          <w:szCs w:val="23"/>
        </w:rPr>
        <w:t>.</w:t>
      </w:r>
      <w:proofErr w:type="gramEnd"/>
      <w:r w:rsidRPr="00CB0B30">
        <w:rPr>
          <w:rFonts w:asciiTheme="majorHAnsi" w:hAnsiTheme="majorHAnsi" w:cstheme="majorHAnsi"/>
          <w:sz w:val="23"/>
          <w:szCs w:val="23"/>
        </w:rPr>
        <w:t xml:space="preserve"> al quale è possibile accedere attraverso l’indirizzo </w:t>
      </w:r>
      <w:proofErr w:type="spellStart"/>
      <w:r w:rsidRPr="00CB0B30">
        <w:rPr>
          <w:rFonts w:asciiTheme="majorHAnsi" w:hAnsiTheme="majorHAnsi" w:cstheme="majorHAnsi"/>
          <w:sz w:val="23"/>
          <w:szCs w:val="23"/>
        </w:rPr>
        <w:t>internet</w:t>
      </w:r>
      <w:proofErr w:type="spellEnd"/>
      <w:r w:rsidRPr="00CB0B30">
        <w:rPr>
          <w:rFonts w:asciiTheme="majorHAnsi" w:hAnsiTheme="majorHAnsi" w:cstheme="majorHAnsi"/>
          <w:sz w:val="23"/>
          <w:szCs w:val="23"/>
        </w:rPr>
        <w:t xml:space="preserve">: </w:t>
      </w:r>
      <w:r w:rsidRPr="00CB0B30">
        <w:rPr>
          <w:rFonts w:asciiTheme="majorHAnsi" w:hAnsiTheme="majorHAnsi" w:cstheme="majorHAnsi"/>
          <w:sz w:val="23"/>
          <w:szCs w:val="23"/>
          <w:u w:val="single"/>
        </w:rPr>
        <w:t>www.arca.regione.lombardia.it</w:t>
      </w:r>
      <w:r w:rsidRPr="00CB0B30">
        <w:rPr>
          <w:rFonts w:asciiTheme="majorHAnsi" w:hAnsiTheme="majorHAnsi" w:cstheme="majorHAnsi"/>
          <w:sz w:val="23"/>
          <w:szCs w:val="23"/>
        </w:rPr>
        <w:t xml:space="preserve">. </w:t>
      </w:r>
    </w:p>
    <w:p w:rsidR="00754120" w:rsidRPr="00CB0B30" w:rsidRDefault="00754120" w:rsidP="00754120">
      <w:pPr>
        <w:pBdr>
          <w:top w:val="nil"/>
          <w:left w:val="nil"/>
          <w:bottom w:val="nil"/>
          <w:right w:val="nil"/>
          <w:between w:val="nil"/>
        </w:pBdr>
        <w:spacing w:before="120" w:after="120"/>
        <w:jc w:val="both"/>
        <w:rPr>
          <w:rFonts w:asciiTheme="majorHAnsi" w:hAnsiTheme="majorHAnsi" w:cstheme="majorHAnsi"/>
          <w:sz w:val="23"/>
          <w:szCs w:val="23"/>
        </w:rPr>
      </w:pPr>
      <w:r w:rsidRPr="00CB0B30">
        <w:rPr>
          <w:rFonts w:asciiTheme="majorHAnsi" w:hAnsiTheme="majorHAnsi" w:cstheme="majorHAnsi"/>
          <w:sz w:val="23"/>
          <w:szCs w:val="23"/>
        </w:rPr>
        <w:t xml:space="preserve">Per ulteriori indicazioni e approfondimenti riguardanti il funzionamento, le condizioni di accesso ed utilizzo del Sistema, nonché il quadro normativo di riferimento, si rimanda all’Allegato C: “Modalità tecniche per l’utilizzo della piattaforma </w:t>
      </w:r>
      <w:proofErr w:type="spellStart"/>
      <w:r w:rsidRPr="00CB0B30">
        <w:rPr>
          <w:rFonts w:asciiTheme="majorHAnsi" w:hAnsiTheme="majorHAnsi" w:cstheme="majorHAnsi"/>
          <w:sz w:val="23"/>
          <w:szCs w:val="23"/>
        </w:rPr>
        <w:t>Sintel</w:t>
      </w:r>
      <w:proofErr w:type="spellEnd"/>
      <w:r w:rsidRPr="00CB0B30">
        <w:rPr>
          <w:rFonts w:asciiTheme="majorHAnsi" w:hAnsiTheme="majorHAnsi" w:cstheme="majorHAnsi"/>
          <w:sz w:val="23"/>
          <w:szCs w:val="23"/>
        </w:rPr>
        <w:t xml:space="preserve">” che costituisce parte integrante e sostanziale del presente documento. </w:t>
      </w:r>
    </w:p>
    <w:p w:rsidR="000D225E" w:rsidRPr="00CB0B30" w:rsidRDefault="00754120" w:rsidP="00754120">
      <w:pPr>
        <w:pBdr>
          <w:top w:val="nil"/>
          <w:left w:val="nil"/>
          <w:bottom w:val="nil"/>
          <w:right w:val="nil"/>
          <w:between w:val="nil"/>
        </w:pBdr>
        <w:spacing w:before="120" w:after="120"/>
        <w:jc w:val="both"/>
        <w:rPr>
          <w:rFonts w:asciiTheme="majorHAnsi" w:hAnsiTheme="majorHAnsi" w:cstheme="majorHAnsi"/>
          <w:b/>
          <w:color w:val="000000"/>
          <w:sz w:val="23"/>
          <w:szCs w:val="23"/>
        </w:rPr>
      </w:pPr>
      <w:r w:rsidRPr="00CB0B30">
        <w:rPr>
          <w:rFonts w:asciiTheme="majorHAnsi" w:hAnsiTheme="majorHAnsi" w:cstheme="majorHAnsi"/>
          <w:sz w:val="23"/>
          <w:szCs w:val="23"/>
        </w:rPr>
        <w:t xml:space="preserve">Specifiche e dettagliate indicazioni sono inoltre contenute nei Manuali d’uso per gli Operatori Economici e nelle Domande Frequenti, cui si fa espresso rimando, messi a disposizione sul portale dell’Azienda Regionale Centrale Acquisti www.arca.regione.lombardia.it nella sezione </w:t>
      </w:r>
      <w:proofErr w:type="spellStart"/>
      <w:r w:rsidRPr="00CB0B30">
        <w:rPr>
          <w:rFonts w:asciiTheme="majorHAnsi" w:hAnsiTheme="majorHAnsi" w:cstheme="majorHAnsi"/>
          <w:sz w:val="23"/>
          <w:szCs w:val="23"/>
        </w:rPr>
        <w:t>Help&amp;Faq</w:t>
      </w:r>
      <w:proofErr w:type="spellEnd"/>
      <w:r w:rsidRPr="00CB0B30">
        <w:rPr>
          <w:rFonts w:asciiTheme="majorHAnsi" w:hAnsiTheme="majorHAnsi" w:cstheme="majorHAnsi"/>
          <w:sz w:val="23"/>
          <w:szCs w:val="23"/>
        </w:rPr>
        <w:t xml:space="preserve">: “Guide e Manuali” </w:t>
      </w:r>
      <w:proofErr w:type="gramStart"/>
      <w:r w:rsidRPr="00CB0B30">
        <w:rPr>
          <w:rFonts w:asciiTheme="majorHAnsi" w:hAnsiTheme="majorHAnsi" w:cstheme="majorHAnsi"/>
          <w:sz w:val="23"/>
          <w:szCs w:val="23"/>
        </w:rPr>
        <w:t>e “</w:t>
      </w:r>
      <w:proofErr w:type="gramEnd"/>
      <w:r w:rsidRPr="00CB0B30">
        <w:rPr>
          <w:rFonts w:asciiTheme="majorHAnsi" w:hAnsiTheme="majorHAnsi" w:cstheme="majorHAnsi"/>
          <w:sz w:val="23"/>
          <w:szCs w:val="23"/>
        </w:rPr>
        <w:t xml:space="preserve">Domande Frequenti degli Operatori Economici”. Per ulteriori richieste di assistenza sull’utilizzo di </w:t>
      </w:r>
      <w:proofErr w:type="spellStart"/>
      <w:r w:rsidRPr="00CB0B30">
        <w:rPr>
          <w:rFonts w:asciiTheme="majorHAnsi" w:hAnsiTheme="majorHAnsi" w:cstheme="majorHAnsi"/>
          <w:sz w:val="23"/>
          <w:szCs w:val="23"/>
        </w:rPr>
        <w:t>Sintel</w:t>
      </w:r>
      <w:proofErr w:type="spellEnd"/>
      <w:r w:rsidRPr="00CB0B30">
        <w:rPr>
          <w:rFonts w:asciiTheme="majorHAnsi" w:hAnsiTheme="majorHAnsi" w:cstheme="majorHAnsi"/>
          <w:sz w:val="23"/>
          <w:szCs w:val="23"/>
        </w:rPr>
        <w:t xml:space="preserve"> si prega di contattare il </w:t>
      </w:r>
      <w:proofErr w:type="spellStart"/>
      <w:r w:rsidRPr="00CB0B30">
        <w:rPr>
          <w:rFonts w:asciiTheme="majorHAnsi" w:hAnsiTheme="majorHAnsi" w:cstheme="majorHAnsi"/>
          <w:sz w:val="23"/>
          <w:szCs w:val="23"/>
        </w:rPr>
        <w:t>Contact</w:t>
      </w:r>
      <w:proofErr w:type="spellEnd"/>
      <w:r w:rsidRPr="00CB0B30">
        <w:rPr>
          <w:rFonts w:asciiTheme="majorHAnsi" w:hAnsiTheme="majorHAnsi" w:cstheme="majorHAnsi"/>
          <w:sz w:val="23"/>
          <w:szCs w:val="23"/>
        </w:rPr>
        <w:t xml:space="preserve"> Center di ARCA scrivendo all’indirizzo email supporto@arcalombardia.it oppure telefonando al numero verde 800.116.738.</w:t>
      </w:r>
    </w:p>
    <w:p w:rsidR="0028150F" w:rsidRPr="00CB0B30" w:rsidRDefault="00963806" w:rsidP="003B4CE4">
      <w:pPr>
        <w:pBdr>
          <w:top w:val="nil"/>
          <w:left w:val="nil"/>
          <w:bottom w:val="nil"/>
          <w:right w:val="nil"/>
          <w:between w:val="nil"/>
        </w:pBdr>
        <w:spacing w:before="60" w:after="60"/>
        <w:jc w:val="both"/>
        <w:rPr>
          <w:rFonts w:asciiTheme="majorHAnsi" w:hAnsiTheme="majorHAnsi" w:cstheme="majorHAnsi"/>
          <w:b/>
          <w:color w:val="000000"/>
          <w:sz w:val="23"/>
          <w:szCs w:val="23"/>
        </w:rPr>
      </w:pPr>
      <w:r w:rsidRPr="00CB0B30">
        <w:rPr>
          <w:rFonts w:asciiTheme="majorHAnsi" w:hAnsiTheme="majorHAnsi" w:cstheme="majorHAnsi"/>
          <w:b/>
          <w:color w:val="000000"/>
          <w:sz w:val="23"/>
          <w:szCs w:val="23"/>
        </w:rPr>
        <w:t>MODALITA’ DI PRESENTAZIONE DELLA DOMANDA DI INVITO</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L’operatore economico accede alla procedura dal portale ARCA, Bandi di gara su piattaforma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(La ricerca delle procedure pubblicate sul portale può avvenire secondo diversi parametri: per oggetto, per ente, per date, per tipo o stato della procedura ecc.).</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L’operatore economico debitamente registrato 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accede con le proprie chiavi di accesso alla procedura di interesse (ricercandola per oggetto, o per ente, o per ID procedura, ecc.) e verifica, nella sezione “Documentazione di gara” del menù di sinistra, la documentazione fornita dall’Ente. Tale documentazione è liberamente scaricabile.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Si precisa che la documentazione viene recapitata alla stazione appaltante solo dopo il completamento di tutti gli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(da 1 a 5, descritti nei successivi paragrafi) componenti il percorso guidato “Invia offerta”.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Pertanto al fine di limitare il rischio di non trasmettere la propria manifestazione di interesse, si raccomanda all’operatore economico di:</w:t>
      </w:r>
    </w:p>
    <w:p w:rsidR="00963806" w:rsidRPr="00CB0B30" w:rsidRDefault="00963806" w:rsidP="00963806">
      <w:pPr>
        <w:numPr>
          <w:ilvl w:val="0"/>
          <w:numId w:val="18"/>
        </w:num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Accedere tempestivamente al percorso guidato “Invia offerta” in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per verificare i contenuti richiesti dalla stazione appaltante e le modalità di inserimento delle informazioni. Si segnala che </w:t>
      </w:r>
      <w:r w:rsidRPr="00CB0B30">
        <w:rPr>
          <w:rFonts w:asciiTheme="majorHAnsi" w:hAnsiTheme="majorHAnsi" w:cstheme="majorHAnsi"/>
          <w:color w:val="000000"/>
          <w:sz w:val="23"/>
          <w:szCs w:val="23"/>
        </w:rPr>
        <w:lastRenderedPageBreak/>
        <w:t>la funzionalità “Salva” consente di interrompere il percorso “Invia offerta” per completarlo in un momento successivo;</w:t>
      </w:r>
    </w:p>
    <w:p w:rsidR="00963806" w:rsidRPr="00CB0B30" w:rsidRDefault="00963806" w:rsidP="00963806">
      <w:pPr>
        <w:numPr>
          <w:ilvl w:val="0"/>
          <w:numId w:val="18"/>
        </w:num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Compilare tutte le informazioni richieste e procedere alla sottomissione dell’offerta con congruo anticipo rispetto al termine ultimo per la presentazione della manifestazione di interesse. Si raccomanda di verificare attentamente in particolare lo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5 “Riepilogo” del percorso “Invia offerta” al fine di verificare che tutti contenuti della propria offerta corrispondano a quanto richiesto dalla stazione appaltante, anche dal punto di vista del formato e delle modalità di sottoscrizione.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N.B. come precisato nel documento “Modalità tecniche per l’utilizzo della piattaforma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(a cui si rimanda), in caso sia necessario allegare più file in uno dei campi predisposti nel percorso guidato “Invia offerta” ciascuno di questi debitamente firmato digitalmente, dovrà essere incluso in un’unica cartella compressa in formato .zip (o equivalente – non firmata digitalmente).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proofErr w:type="spellStart"/>
      <w:r w:rsidRPr="00CB0B30">
        <w:rPr>
          <w:rFonts w:asciiTheme="majorHAnsi" w:hAnsiTheme="majorHAnsi" w:cstheme="majorHAnsi"/>
          <w:color w:val="000000"/>
          <w:sz w:val="23"/>
          <w:szCs w:val="23"/>
          <w:u w:val="single"/>
        </w:rPr>
        <w:t>Step</w:t>
      </w:r>
      <w:proofErr w:type="spellEnd"/>
      <w:r w:rsidRPr="00CB0B30">
        <w:rPr>
          <w:rFonts w:asciiTheme="majorHAnsi" w:hAnsiTheme="majorHAnsi" w:cstheme="majorHAnsi"/>
          <w:color w:val="000000"/>
          <w:sz w:val="23"/>
          <w:szCs w:val="23"/>
          <w:u w:val="single"/>
        </w:rPr>
        <w:t xml:space="preserve"> 1 – Documentazione richiesta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Il concorrente debitamente iscritto 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accede con le proprie chiavi di accesso nell’apposita sezione “Invio Offerta” relativa alla presente procedura accedendo al sito internet, all’indirizzo:</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http:// </w:t>
      </w:r>
      <w:hyperlink r:id="rId8">
        <w:r w:rsidRPr="00CB0B30">
          <w:rPr>
            <w:rStyle w:val="Collegamentoipertestuale"/>
            <w:rFonts w:asciiTheme="majorHAnsi" w:hAnsiTheme="majorHAnsi" w:cstheme="majorHAnsi"/>
            <w:sz w:val="23"/>
            <w:szCs w:val="23"/>
          </w:rPr>
          <w:t>www.arca.regione.lombardia.it</w:t>
        </w:r>
      </w:hyperlink>
      <w:r w:rsidRPr="00CB0B30">
        <w:rPr>
          <w:rFonts w:asciiTheme="majorHAnsi" w:hAnsiTheme="majorHAnsi" w:cstheme="majorHAnsi"/>
          <w:color w:val="000000"/>
          <w:sz w:val="23"/>
          <w:szCs w:val="23"/>
        </w:rPr>
        <w:t>.</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Al primo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del percorso guidato “Invia offerta” l’operatore economico deve inserire la domanda di partecipazione (ALLEGATO A) e gli eventuali ulteriori documenti richiesti in caso l’istante intenda ricorrere al RTOE o all’avvalimento. L’operatore economico trasmette la propria manifestazione d’interesse utilizzando il requisito vincolato di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e successivamente deve ciccare su “Avanti”.</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proofErr w:type="spellStart"/>
      <w:r w:rsidRPr="00CB0B30">
        <w:rPr>
          <w:rFonts w:asciiTheme="majorHAnsi" w:hAnsiTheme="majorHAnsi" w:cstheme="majorHAnsi"/>
          <w:color w:val="000000"/>
          <w:sz w:val="23"/>
          <w:szCs w:val="23"/>
          <w:u w:val="single"/>
        </w:rPr>
        <w:t>Step</w:t>
      </w:r>
      <w:proofErr w:type="spellEnd"/>
      <w:r w:rsidRPr="00CB0B30">
        <w:rPr>
          <w:rFonts w:asciiTheme="majorHAnsi" w:hAnsiTheme="majorHAnsi" w:cstheme="majorHAnsi"/>
          <w:color w:val="000000"/>
          <w:sz w:val="23"/>
          <w:szCs w:val="23"/>
          <w:u w:val="single"/>
        </w:rPr>
        <w:t xml:space="preserve"> 2 – Offerta tecnica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Al secondo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del percorso guidato “Invia offerta” l’operatore economico non deve inserire alcuna documentazione poiché la presente procedura non prevede offerta tecnica. L’operatore economico deve quindi ciccare su “Avanti” e procedere con la sottomissione dell’offerta economica come di seguito descritto.</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proofErr w:type="spellStart"/>
      <w:r w:rsidRPr="00CB0B30">
        <w:rPr>
          <w:rFonts w:asciiTheme="majorHAnsi" w:hAnsiTheme="majorHAnsi" w:cstheme="majorHAnsi"/>
          <w:color w:val="000000"/>
          <w:sz w:val="23"/>
          <w:szCs w:val="23"/>
          <w:u w:val="single"/>
        </w:rPr>
        <w:t>Step</w:t>
      </w:r>
      <w:proofErr w:type="spellEnd"/>
      <w:r w:rsidRPr="00CB0B30">
        <w:rPr>
          <w:rFonts w:asciiTheme="majorHAnsi" w:hAnsiTheme="majorHAnsi" w:cstheme="majorHAnsi"/>
          <w:color w:val="000000"/>
          <w:sz w:val="23"/>
          <w:szCs w:val="23"/>
          <w:u w:val="single"/>
        </w:rPr>
        <w:t xml:space="preserve"> 3 – Offerta economica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Al terzo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del percorso guidato “Invia offerta” l’operatore economico deve inserire il valore “1,00” all’interno del campo offerta economica poiché il modello generato dal sistema funge da manifestazione di interesse alla partecipazione alla procedura.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b/>
          <w:color w:val="000000"/>
          <w:sz w:val="23"/>
          <w:szCs w:val="23"/>
        </w:rPr>
      </w:pPr>
      <w:r w:rsidRPr="00CB0B30">
        <w:rPr>
          <w:rFonts w:asciiTheme="majorHAnsi" w:hAnsiTheme="majorHAnsi" w:cstheme="majorHAnsi"/>
          <w:b/>
          <w:color w:val="000000"/>
          <w:sz w:val="23"/>
          <w:szCs w:val="23"/>
        </w:rPr>
        <w:t>ATTENZIONE: PRECISAZIONE IMPORTANTE DELLA PROCEDURA TELEMATICA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r w:rsidRPr="00CB0B30">
        <w:rPr>
          <w:rFonts w:asciiTheme="majorHAnsi" w:hAnsiTheme="majorHAnsi" w:cstheme="majorHAnsi"/>
          <w:b/>
          <w:color w:val="000000"/>
          <w:sz w:val="23"/>
          <w:szCs w:val="23"/>
        </w:rPr>
        <w:t xml:space="preserve">Nel presentare la candidatura secondo la procedura telematica SINTEL, il sistema prevede un campo obbligatorio “offerta economica” (STEP 3) Non essendo tuttavia richiesto, in questa fase preliminare di candidatura esprimere alcun valore economico, si precisa che l’operatore economico non dovrà indicare </w:t>
      </w:r>
      <w:r w:rsidRPr="00CB0B30">
        <w:rPr>
          <w:rFonts w:asciiTheme="majorHAnsi" w:hAnsiTheme="majorHAnsi" w:cstheme="majorHAnsi"/>
          <w:b/>
          <w:color w:val="000000"/>
          <w:sz w:val="23"/>
          <w:szCs w:val="23"/>
        </w:rPr>
        <w:lastRenderedPageBreak/>
        <w:t>alcuna offerta, ma dovrà inserire esclusivamente il valore 1 (uno) in tale campo esclusivamente per consentire al sistema la conclusione del processo.</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proofErr w:type="spellStart"/>
      <w:r w:rsidRPr="00CB0B30">
        <w:rPr>
          <w:rFonts w:asciiTheme="majorHAnsi" w:hAnsiTheme="majorHAnsi" w:cstheme="majorHAnsi"/>
          <w:color w:val="000000"/>
          <w:sz w:val="23"/>
          <w:szCs w:val="23"/>
          <w:u w:val="single"/>
        </w:rPr>
        <w:t>Step</w:t>
      </w:r>
      <w:proofErr w:type="spellEnd"/>
      <w:r w:rsidRPr="00CB0B30">
        <w:rPr>
          <w:rFonts w:asciiTheme="majorHAnsi" w:hAnsiTheme="majorHAnsi" w:cstheme="majorHAnsi"/>
          <w:color w:val="000000"/>
          <w:sz w:val="23"/>
          <w:szCs w:val="23"/>
          <w:u w:val="single"/>
        </w:rPr>
        <w:t xml:space="preserve"> 4 – Riepilogo dell’Offerta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Al quarto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del percorso guidato “Invia offerta” la piattaforma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genera automaticamente il “Documento d’offerta” in formato pdf contenente tutti i dati e le dichiarazioni relativi all’offerta inseriti negli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precedenti (qualora richiesti). L’operatore economico deve scaricare tale documento sul proprio terminale e sottoscriverlo in forma digitale.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roofErr w:type="gramStart"/>
      <w:r w:rsidRPr="00CB0B30">
        <w:rPr>
          <w:rFonts w:asciiTheme="majorHAnsi" w:hAnsiTheme="majorHAnsi" w:cstheme="majorHAnsi"/>
          <w:color w:val="000000"/>
          <w:sz w:val="23"/>
          <w:szCs w:val="23"/>
        </w:rPr>
        <w:t>E’</w:t>
      </w:r>
      <w:proofErr w:type="gramEnd"/>
      <w:r w:rsidRPr="00CB0B30">
        <w:rPr>
          <w:rFonts w:asciiTheme="majorHAnsi" w:hAnsiTheme="majorHAnsi" w:cstheme="majorHAnsi"/>
          <w:color w:val="000000"/>
          <w:sz w:val="23"/>
          <w:szCs w:val="23"/>
        </w:rPr>
        <w:t xml:space="preserve"> quindi necessario, in quanto elemento essenziale dell’offerta, effettuare l’upload in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del “Documento d’offerta” debitamente firmato digitalmente.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b/>
          <w:color w:val="000000"/>
          <w:sz w:val="23"/>
          <w:szCs w:val="23"/>
        </w:rPr>
      </w:pPr>
      <w:r w:rsidRPr="00CB0B30">
        <w:rPr>
          <w:rFonts w:asciiTheme="majorHAnsi" w:hAnsiTheme="majorHAnsi" w:cstheme="majorHAnsi"/>
          <w:b/>
          <w:color w:val="000000"/>
          <w:sz w:val="23"/>
          <w:szCs w:val="23"/>
        </w:rPr>
        <w:t>Il documento generato equivale a manifestazione di interesse a partecipare alla procedura.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Tutte le informazioni in merito all’essenzialità del “Documento d’offerta” e alle specifiche tecniche/procedurali sulle attività sono dettagliate nella schermata dello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4 del percorso “Invia offerta” in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w:t>
      </w:r>
      <w:proofErr w:type="spellStart"/>
      <w:r w:rsidRPr="00CB0B30">
        <w:rPr>
          <w:rFonts w:asciiTheme="majorHAnsi" w:hAnsiTheme="majorHAnsi" w:cstheme="majorHAnsi"/>
          <w:color w:val="000000"/>
          <w:sz w:val="23"/>
          <w:szCs w:val="23"/>
        </w:rPr>
        <w:t>nonchè</w:t>
      </w:r>
      <w:proofErr w:type="spellEnd"/>
      <w:r w:rsidRPr="00CB0B30">
        <w:rPr>
          <w:rFonts w:asciiTheme="majorHAnsi" w:hAnsiTheme="majorHAnsi" w:cstheme="majorHAnsi"/>
          <w:color w:val="000000"/>
          <w:sz w:val="23"/>
          <w:szCs w:val="23"/>
        </w:rPr>
        <w:t xml:space="preserve"> nel documento “Modalità tecniche per l’utilizzo della piattaforma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proofErr w:type="spellStart"/>
      <w:r w:rsidRPr="00CB0B30">
        <w:rPr>
          <w:rFonts w:asciiTheme="majorHAnsi" w:hAnsiTheme="majorHAnsi" w:cstheme="majorHAnsi"/>
          <w:color w:val="000000"/>
          <w:sz w:val="23"/>
          <w:szCs w:val="23"/>
          <w:u w:val="single"/>
        </w:rPr>
        <w:t>Step</w:t>
      </w:r>
      <w:proofErr w:type="spellEnd"/>
      <w:r w:rsidRPr="00CB0B30">
        <w:rPr>
          <w:rFonts w:asciiTheme="majorHAnsi" w:hAnsiTheme="majorHAnsi" w:cstheme="majorHAnsi"/>
          <w:color w:val="000000"/>
          <w:sz w:val="23"/>
          <w:szCs w:val="23"/>
          <w:u w:val="single"/>
        </w:rPr>
        <w:t xml:space="preserve"> 5 – Invio Offerta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Al quinto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del percorso guidato “Invia offerta” l’operatore economico visualizza il riepilogo di tutte le informazioni componenti la propria offerta. L’operatore economico, per concludere il percorso guidato ed inviare l’offerta deve cliccare l’apposito tasto “Invia offerta”. </w:t>
      </w:r>
      <w:proofErr w:type="spellStart"/>
      <w:r w:rsidRPr="00CB0B30">
        <w:rPr>
          <w:rFonts w:asciiTheme="majorHAnsi" w:hAnsiTheme="majorHAnsi" w:cstheme="majorHAnsi"/>
          <w:color w:val="000000"/>
          <w:sz w:val="23"/>
          <w:szCs w:val="23"/>
        </w:rPr>
        <w:t>Sintel</w:t>
      </w:r>
      <w:proofErr w:type="spellEnd"/>
      <w:r w:rsidRPr="00CB0B30">
        <w:rPr>
          <w:rFonts w:asciiTheme="majorHAnsi" w:hAnsiTheme="majorHAnsi" w:cstheme="majorHAnsi"/>
          <w:color w:val="000000"/>
          <w:sz w:val="23"/>
          <w:szCs w:val="23"/>
        </w:rPr>
        <w:t xml:space="preserve"> restituirà un messaggio a video dando evidenza del buon esito dell’invio dell’offerta.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u w:val="single"/>
        </w:rPr>
      </w:pPr>
      <w:r w:rsidRPr="00CB0B30">
        <w:rPr>
          <w:rFonts w:asciiTheme="majorHAnsi" w:hAnsiTheme="majorHAnsi" w:cstheme="majorHAnsi"/>
          <w:color w:val="000000"/>
          <w:sz w:val="23"/>
          <w:szCs w:val="23"/>
          <w:u w:val="single"/>
        </w:rPr>
        <w:t>ATTENZIONE: VERIFICARE I CONTENUTI DELL’OFFERTA PRIMA DI PROCEDERE ALL’INVIO DELLA STESSA</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 xml:space="preserve">Si precisa che è di fondamentale importanza verificare allo </w:t>
      </w:r>
      <w:proofErr w:type="spellStart"/>
      <w:r w:rsidRPr="00CB0B30">
        <w:rPr>
          <w:rFonts w:asciiTheme="majorHAnsi" w:hAnsiTheme="majorHAnsi" w:cstheme="majorHAnsi"/>
          <w:color w:val="000000"/>
          <w:sz w:val="23"/>
          <w:szCs w:val="23"/>
        </w:rPr>
        <w:t>step</w:t>
      </w:r>
      <w:proofErr w:type="spellEnd"/>
      <w:r w:rsidRPr="00CB0B30">
        <w:rPr>
          <w:rFonts w:asciiTheme="majorHAnsi" w:hAnsiTheme="majorHAnsi" w:cstheme="majorHAnsi"/>
          <w:color w:val="000000"/>
          <w:sz w:val="23"/>
          <w:szCs w:val="23"/>
        </w:rPr>
        <w:t xml:space="preserve"> 5 del percorso guidato “Invia offerta” tutte le informazioni inserite nel percorso guidato stesso. Si precisa inoltre che nel caso in cui l’offerta venga inviata, e vengano successivamente individuati degli errori, sarà necessario procedere ad inviare una nuova offerta che sostituirà tutti gli elementi della precedente.</w:t>
      </w:r>
    </w:p>
    <w:p w:rsidR="00963806" w:rsidRPr="00CB0B30" w:rsidRDefault="00963806" w:rsidP="00963806">
      <w:pPr>
        <w:pBdr>
          <w:top w:val="nil"/>
          <w:left w:val="nil"/>
          <w:bottom w:val="nil"/>
          <w:right w:val="nil"/>
          <w:between w:val="nil"/>
        </w:pBdr>
        <w:spacing w:before="60" w:after="60"/>
        <w:jc w:val="both"/>
        <w:rPr>
          <w:rFonts w:asciiTheme="majorHAnsi" w:hAnsiTheme="majorHAnsi" w:cstheme="majorHAnsi"/>
          <w:color w:val="000000"/>
          <w:sz w:val="23"/>
          <w:szCs w:val="23"/>
        </w:rPr>
      </w:pPr>
      <w:r w:rsidRPr="00CB0B30">
        <w:rPr>
          <w:rFonts w:asciiTheme="majorHAnsi" w:hAnsiTheme="majorHAnsi" w:cstheme="majorHAnsi"/>
          <w:color w:val="000000"/>
          <w:sz w:val="23"/>
          <w:szCs w:val="23"/>
        </w:rPr>
        <w:t>Decorso il termine perentorio di scadenza sopra previsto non sarà ritenuta valida alcuna altra manifestazione di interesse anche se sostitutiva o aggiuntiva di quella precedentemente inoltrata. Le dichiarazioni di manifestazione di interesse non saranno ritenute ammissibili qualora siano pervenute oltre il termine come sopra previsto.</w:t>
      </w:r>
    </w:p>
    <w:p w:rsidR="00963806" w:rsidRPr="00CB0B30" w:rsidRDefault="00963806" w:rsidP="003B4CE4">
      <w:pPr>
        <w:pBdr>
          <w:top w:val="nil"/>
          <w:left w:val="nil"/>
          <w:bottom w:val="nil"/>
          <w:right w:val="nil"/>
          <w:between w:val="nil"/>
        </w:pBdr>
        <w:spacing w:before="60" w:after="60"/>
        <w:jc w:val="both"/>
        <w:rPr>
          <w:rFonts w:asciiTheme="majorHAnsi" w:hAnsiTheme="majorHAnsi" w:cstheme="majorHAnsi"/>
          <w:b/>
          <w:color w:val="000000"/>
          <w:sz w:val="22"/>
          <w:szCs w:val="22"/>
        </w:rPr>
      </w:pPr>
      <w:bookmarkStart w:id="0" w:name="_GoBack"/>
      <w:bookmarkEnd w:id="0"/>
    </w:p>
    <w:p w:rsidR="0028150F" w:rsidRPr="00CB0B30" w:rsidRDefault="0028150F" w:rsidP="003B4CE4">
      <w:pPr>
        <w:pBdr>
          <w:top w:val="nil"/>
          <w:left w:val="nil"/>
          <w:bottom w:val="nil"/>
          <w:right w:val="nil"/>
          <w:between w:val="nil"/>
        </w:pBdr>
        <w:spacing w:before="60" w:after="60"/>
        <w:jc w:val="both"/>
        <w:rPr>
          <w:rFonts w:asciiTheme="majorHAnsi" w:hAnsiTheme="majorHAnsi" w:cstheme="majorHAnsi"/>
          <w:color w:val="000000"/>
          <w:sz w:val="22"/>
          <w:szCs w:val="22"/>
        </w:rPr>
      </w:pPr>
    </w:p>
    <w:tbl>
      <w:tblPr>
        <w:tblStyle w:val="a1"/>
        <w:tblW w:w="9639" w:type="dxa"/>
        <w:tblInd w:w="0" w:type="dxa"/>
        <w:tblLayout w:type="fixed"/>
        <w:tblLook w:val="0000" w:firstRow="0" w:lastRow="0" w:firstColumn="0" w:lastColumn="0" w:noHBand="0" w:noVBand="0"/>
      </w:tblPr>
      <w:tblGrid>
        <w:gridCol w:w="4819"/>
        <w:gridCol w:w="4820"/>
      </w:tblGrid>
      <w:tr w:rsidR="00FC4D4D" w:rsidRPr="00CB0B30">
        <w:tc>
          <w:tcPr>
            <w:tcW w:w="4819" w:type="dxa"/>
            <w:vAlign w:val="center"/>
          </w:tcPr>
          <w:p w:rsidR="00FC4D4D" w:rsidRPr="00CB0B30" w:rsidRDefault="00FC4D4D">
            <w:pPr>
              <w:pBdr>
                <w:top w:val="nil"/>
                <w:left w:val="nil"/>
                <w:bottom w:val="nil"/>
                <w:right w:val="nil"/>
                <w:between w:val="nil"/>
              </w:pBdr>
              <w:jc w:val="center"/>
              <w:rPr>
                <w:rFonts w:asciiTheme="majorHAnsi" w:hAnsiTheme="majorHAnsi" w:cstheme="majorHAnsi"/>
                <w:smallCaps/>
                <w:color w:val="000000"/>
                <w:sz w:val="20"/>
                <w:szCs w:val="20"/>
              </w:rPr>
            </w:pPr>
          </w:p>
        </w:tc>
        <w:tc>
          <w:tcPr>
            <w:tcW w:w="4820" w:type="dxa"/>
            <w:vAlign w:val="center"/>
          </w:tcPr>
          <w:p w:rsidR="00644FCA" w:rsidRPr="00CB0B30" w:rsidRDefault="00644FCA">
            <w:pPr>
              <w:pBdr>
                <w:top w:val="nil"/>
                <w:left w:val="nil"/>
                <w:bottom w:val="nil"/>
                <w:right w:val="nil"/>
                <w:between w:val="nil"/>
              </w:pBdr>
              <w:jc w:val="center"/>
              <w:rPr>
                <w:rFonts w:asciiTheme="majorHAnsi" w:hAnsiTheme="majorHAnsi" w:cstheme="majorHAnsi"/>
                <w:i/>
                <w:smallCaps/>
                <w:color w:val="000000"/>
                <w:sz w:val="20"/>
                <w:szCs w:val="20"/>
              </w:rPr>
            </w:pPr>
            <w:r w:rsidRPr="00CB0B30">
              <w:rPr>
                <w:rFonts w:asciiTheme="majorHAnsi" w:hAnsiTheme="majorHAnsi" w:cstheme="majorHAnsi"/>
                <w:i/>
                <w:smallCaps/>
                <w:color w:val="000000"/>
                <w:sz w:val="20"/>
                <w:szCs w:val="20"/>
              </w:rPr>
              <w:t xml:space="preserve">UOS SERVIZI TECNICI E </w:t>
            </w:r>
          </w:p>
          <w:p w:rsidR="00FC4D4D" w:rsidRPr="00CB0B30" w:rsidRDefault="00644FCA">
            <w:pPr>
              <w:pBdr>
                <w:top w:val="nil"/>
                <w:left w:val="nil"/>
                <w:bottom w:val="nil"/>
                <w:right w:val="nil"/>
                <w:between w:val="nil"/>
              </w:pBdr>
              <w:jc w:val="center"/>
              <w:rPr>
                <w:rFonts w:asciiTheme="majorHAnsi" w:hAnsiTheme="majorHAnsi" w:cstheme="majorHAnsi"/>
                <w:i/>
                <w:smallCaps/>
                <w:color w:val="000000"/>
                <w:sz w:val="20"/>
                <w:szCs w:val="20"/>
              </w:rPr>
            </w:pPr>
            <w:r w:rsidRPr="00CB0B30">
              <w:rPr>
                <w:rFonts w:asciiTheme="majorHAnsi" w:hAnsiTheme="majorHAnsi" w:cstheme="majorHAnsi"/>
                <w:i/>
                <w:smallCaps/>
                <w:color w:val="000000"/>
                <w:sz w:val="20"/>
                <w:szCs w:val="20"/>
              </w:rPr>
              <w:t>PATRIMONIALI</w:t>
            </w:r>
          </w:p>
        </w:tc>
      </w:tr>
      <w:tr w:rsidR="00FC4D4D" w:rsidRPr="00CB0B30">
        <w:tc>
          <w:tcPr>
            <w:tcW w:w="4819" w:type="dxa"/>
            <w:vAlign w:val="center"/>
          </w:tcPr>
          <w:p w:rsidR="00FC4D4D" w:rsidRPr="00CB0B30" w:rsidRDefault="00FC4D4D">
            <w:pPr>
              <w:widowControl w:val="0"/>
              <w:pBdr>
                <w:top w:val="nil"/>
                <w:left w:val="nil"/>
                <w:bottom w:val="nil"/>
                <w:right w:val="nil"/>
                <w:between w:val="nil"/>
              </w:pBdr>
              <w:spacing w:line="276" w:lineRule="auto"/>
              <w:rPr>
                <w:rFonts w:asciiTheme="majorHAnsi" w:hAnsiTheme="majorHAnsi" w:cstheme="majorHAnsi"/>
                <w:i/>
                <w:smallCaps/>
                <w:color w:val="000000"/>
                <w:sz w:val="20"/>
                <w:szCs w:val="20"/>
              </w:rPr>
            </w:pPr>
          </w:p>
          <w:tbl>
            <w:tblPr>
              <w:tblStyle w:val="a2"/>
              <w:tblW w:w="4679" w:type="dxa"/>
              <w:tblInd w:w="0" w:type="dxa"/>
              <w:tblLayout w:type="fixed"/>
              <w:tblLook w:val="0000" w:firstRow="0" w:lastRow="0" w:firstColumn="0" w:lastColumn="0" w:noHBand="0" w:noVBand="0"/>
            </w:tblPr>
            <w:tblGrid>
              <w:gridCol w:w="2339"/>
              <w:gridCol w:w="2340"/>
            </w:tblGrid>
            <w:tr w:rsidR="00FC4D4D" w:rsidRPr="00CB0B30">
              <w:tc>
                <w:tcPr>
                  <w:tcW w:w="2339" w:type="dxa"/>
                  <w:vAlign w:val="center"/>
                </w:tcPr>
                <w:p w:rsidR="000C7685" w:rsidRPr="00CB0B30" w:rsidRDefault="000C7685" w:rsidP="00902E4C">
                  <w:pPr>
                    <w:pBdr>
                      <w:top w:val="nil"/>
                      <w:left w:val="nil"/>
                      <w:bottom w:val="nil"/>
                      <w:right w:val="nil"/>
                      <w:between w:val="nil"/>
                    </w:pBdr>
                    <w:spacing w:before="60" w:after="60"/>
                    <w:rPr>
                      <w:rFonts w:asciiTheme="majorHAnsi" w:hAnsiTheme="majorHAnsi" w:cstheme="majorHAnsi"/>
                      <w:b/>
                      <w:color w:val="000000"/>
                    </w:rPr>
                  </w:pPr>
                </w:p>
              </w:tc>
              <w:tc>
                <w:tcPr>
                  <w:tcW w:w="2340" w:type="dxa"/>
                  <w:vAlign w:val="center"/>
                </w:tcPr>
                <w:p w:rsidR="00FC4D4D" w:rsidRPr="00CB0B30" w:rsidRDefault="00FC4D4D">
                  <w:pPr>
                    <w:pBdr>
                      <w:top w:val="nil"/>
                      <w:left w:val="nil"/>
                      <w:bottom w:val="nil"/>
                      <w:right w:val="nil"/>
                      <w:between w:val="nil"/>
                    </w:pBdr>
                    <w:spacing w:before="60" w:after="60"/>
                    <w:jc w:val="center"/>
                    <w:rPr>
                      <w:rFonts w:asciiTheme="majorHAnsi" w:hAnsiTheme="majorHAnsi" w:cstheme="majorHAnsi"/>
                      <w:b/>
                      <w:color w:val="000000"/>
                      <w:sz w:val="22"/>
                      <w:szCs w:val="22"/>
                    </w:rPr>
                  </w:pPr>
                </w:p>
              </w:tc>
            </w:tr>
          </w:tbl>
          <w:p w:rsidR="00FC4D4D" w:rsidRPr="00CB0B30" w:rsidRDefault="00FC4D4D" w:rsidP="00936B30">
            <w:pPr>
              <w:ind w:hanging="2"/>
              <w:jc w:val="both"/>
              <w:rPr>
                <w:rFonts w:asciiTheme="majorHAnsi" w:hAnsiTheme="majorHAnsi" w:cstheme="majorHAnsi"/>
              </w:rPr>
            </w:pPr>
          </w:p>
        </w:tc>
        <w:tc>
          <w:tcPr>
            <w:tcW w:w="4820" w:type="dxa"/>
            <w:vAlign w:val="center"/>
          </w:tcPr>
          <w:p w:rsidR="00FC4D4D" w:rsidRPr="00CB0B30" w:rsidRDefault="00644FCA">
            <w:pPr>
              <w:pBdr>
                <w:top w:val="nil"/>
                <w:left w:val="nil"/>
                <w:bottom w:val="nil"/>
                <w:right w:val="nil"/>
                <w:between w:val="nil"/>
              </w:pBdr>
              <w:spacing w:before="60" w:after="60"/>
              <w:jc w:val="center"/>
              <w:rPr>
                <w:rFonts w:asciiTheme="majorHAnsi" w:hAnsiTheme="majorHAnsi" w:cstheme="majorHAnsi"/>
                <w:b/>
                <w:i/>
                <w:color w:val="000000"/>
                <w:sz w:val="22"/>
                <w:szCs w:val="22"/>
              </w:rPr>
            </w:pPr>
            <w:r w:rsidRPr="00CB0B30">
              <w:rPr>
                <w:rFonts w:asciiTheme="majorHAnsi" w:hAnsiTheme="majorHAnsi" w:cstheme="majorHAnsi"/>
                <w:b/>
                <w:i/>
                <w:color w:val="000000"/>
                <w:sz w:val="22"/>
                <w:szCs w:val="22"/>
              </w:rPr>
              <w:t xml:space="preserve">Arch. Filippo </w:t>
            </w:r>
            <w:proofErr w:type="spellStart"/>
            <w:r w:rsidRPr="00CB0B30">
              <w:rPr>
                <w:rFonts w:asciiTheme="majorHAnsi" w:hAnsiTheme="majorHAnsi" w:cstheme="majorHAnsi"/>
                <w:b/>
                <w:i/>
                <w:color w:val="000000"/>
                <w:sz w:val="22"/>
                <w:szCs w:val="22"/>
              </w:rPr>
              <w:t>Ciaglia</w:t>
            </w:r>
            <w:proofErr w:type="spellEnd"/>
            <w:r w:rsidRPr="00CB0B30">
              <w:rPr>
                <w:rFonts w:asciiTheme="majorHAnsi" w:hAnsiTheme="majorHAnsi" w:cstheme="majorHAnsi"/>
                <w:b/>
                <w:i/>
                <w:color w:val="000000"/>
                <w:sz w:val="22"/>
                <w:szCs w:val="22"/>
              </w:rPr>
              <w:t xml:space="preserve"> </w:t>
            </w:r>
          </w:p>
          <w:p w:rsidR="00145727" w:rsidRPr="00CB0B30" w:rsidRDefault="00145727">
            <w:pPr>
              <w:pBdr>
                <w:top w:val="nil"/>
                <w:left w:val="nil"/>
                <w:bottom w:val="nil"/>
                <w:right w:val="nil"/>
                <w:between w:val="nil"/>
              </w:pBdr>
              <w:spacing w:before="60" w:after="60"/>
              <w:jc w:val="center"/>
              <w:rPr>
                <w:rFonts w:asciiTheme="majorHAnsi" w:hAnsiTheme="majorHAnsi" w:cstheme="majorHAnsi"/>
                <w:i/>
                <w:color w:val="000000"/>
                <w:sz w:val="22"/>
                <w:szCs w:val="22"/>
              </w:rPr>
            </w:pPr>
            <w:r w:rsidRPr="00CB0B30">
              <w:rPr>
                <w:rFonts w:asciiTheme="majorHAnsi" w:hAnsiTheme="majorHAnsi" w:cstheme="majorHAnsi"/>
                <w:i/>
                <w:color w:val="000000"/>
                <w:sz w:val="22"/>
                <w:szCs w:val="22"/>
              </w:rPr>
              <w:t>(f.to digitalmente)</w:t>
            </w:r>
          </w:p>
          <w:p w:rsidR="000C7685" w:rsidRPr="00CB0B30" w:rsidRDefault="000C7685" w:rsidP="000C7685">
            <w:pPr>
              <w:pBdr>
                <w:top w:val="nil"/>
                <w:left w:val="nil"/>
                <w:bottom w:val="nil"/>
                <w:right w:val="nil"/>
                <w:between w:val="nil"/>
              </w:pBdr>
              <w:spacing w:before="60" w:after="60"/>
              <w:rPr>
                <w:rFonts w:asciiTheme="majorHAnsi" w:hAnsiTheme="majorHAnsi" w:cstheme="majorHAnsi"/>
                <w:b/>
                <w:i/>
                <w:color w:val="000000"/>
                <w:sz w:val="22"/>
                <w:szCs w:val="22"/>
              </w:rPr>
            </w:pPr>
          </w:p>
        </w:tc>
      </w:tr>
    </w:tbl>
    <w:p w:rsidR="00145727" w:rsidRPr="00CB0B30" w:rsidRDefault="00145727" w:rsidP="00963806">
      <w:pPr>
        <w:jc w:val="both"/>
        <w:rPr>
          <w:rFonts w:asciiTheme="majorHAnsi" w:hAnsiTheme="majorHAnsi" w:cstheme="majorHAnsi"/>
          <w:sz w:val="18"/>
        </w:rPr>
      </w:pPr>
      <w:r w:rsidRPr="00CB0B30">
        <w:rPr>
          <w:rFonts w:asciiTheme="majorHAnsi" w:hAnsiTheme="majorHAnsi" w:cstheme="majorHAnsi"/>
          <w:color w:val="808080" w:themeColor="background1" w:themeShade="80"/>
          <w:sz w:val="18"/>
          <w:szCs w:val="4"/>
          <w:lang w:eastAsia="zh-CN" w:bidi="hi-IN"/>
        </w:rPr>
        <w:t xml:space="preserve"> </w:t>
      </w:r>
    </w:p>
    <w:sectPr w:rsidR="00145727" w:rsidRPr="00CB0B30">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985" w:left="1134" w:header="851"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72" w:rsidRDefault="00C00E72">
      <w:r>
        <w:separator/>
      </w:r>
    </w:p>
  </w:endnote>
  <w:endnote w:type="continuationSeparator" w:id="0">
    <w:p w:rsidR="00C00E72" w:rsidRDefault="00C0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widowControl w:val="0"/>
      <w:pBdr>
        <w:top w:val="nil"/>
        <w:left w:val="nil"/>
        <w:bottom w:val="nil"/>
        <w:right w:val="nil"/>
        <w:between w:val="nil"/>
      </w:pBdr>
      <w:spacing w:line="276" w:lineRule="auto"/>
      <w:rPr>
        <w:color w:val="000000"/>
        <w:sz w:val="4"/>
        <w:szCs w:val="4"/>
      </w:rPr>
    </w:pPr>
  </w:p>
  <w:tbl>
    <w:tblPr>
      <w:tblStyle w:val="a6"/>
      <w:tblW w:w="9639" w:type="dxa"/>
      <w:tblInd w:w="0" w:type="dxa"/>
      <w:tblLayout w:type="fixed"/>
      <w:tblLook w:val="0000" w:firstRow="0" w:lastRow="0" w:firstColumn="0" w:lastColumn="0" w:noHBand="0" w:noVBand="0"/>
    </w:tblPr>
    <w:tblGrid>
      <w:gridCol w:w="8027"/>
      <w:gridCol w:w="1612"/>
    </w:tblGrid>
    <w:tr w:rsidR="00D038A3">
      <w:tc>
        <w:tcPr>
          <w:tcW w:w="8027" w:type="dxa"/>
        </w:tcPr>
        <w:p w:rsidR="00D038A3" w:rsidRDefault="00D038A3">
          <w:pPr>
            <w:pBdr>
              <w:top w:val="nil"/>
              <w:left w:val="nil"/>
              <w:bottom w:val="nil"/>
              <w:right w:val="nil"/>
              <w:between w:val="nil"/>
            </w:pBdr>
            <w:tabs>
              <w:tab w:val="center" w:pos="4819"/>
              <w:tab w:val="right" w:pos="9638"/>
            </w:tabs>
            <w:rPr>
              <w:color w:val="000000"/>
              <w:sz w:val="16"/>
              <w:szCs w:val="16"/>
            </w:rPr>
          </w:pPr>
        </w:p>
      </w:tc>
      <w:tc>
        <w:tcPr>
          <w:tcW w:w="1612" w:type="dxa"/>
        </w:tcPr>
        <w:p w:rsidR="00D038A3" w:rsidRDefault="00D038A3">
          <w:pPr>
            <w:pBdr>
              <w:top w:val="nil"/>
              <w:left w:val="nil"/>
              <w:bottom w:val="nil"/>
              <w:right w:val="nil"/>
              <w:between w:val="nil"/>
            </w:pBdr>
            <w:tabs>
              <w:tab w:val="center" w:pos="4819"/>
              <w:tab w:val="right" w:pos="9638"/>
            </w:tabs>
            <w:jc w:val="right"/>
            <w:rPr>
              <w:color w:val="000000"/>
              <w:sz w:val="16"/>
              <w:szCs w:val="16"/>
            </w:rPr>
          </w:pPr>
          <w:r>
            <w:rPr>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CB0B30">
            <w:rPr>
              <w:noProof/>
              <w:color w:val="000000"/>
              <w:sz w:val="20"/>
              <w:szCs w:val="20"/>
            </w:rPr>
            <w:t>3</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CB0B30">
            <w:rPr>
              <w:noProof/>
              <w:color w:val="000000"/>
              <w:sz w:val="20"/>
              <w:szCs w:val="20"/>
            </w:rPr>
            <w:t>3</w:t>
          </w:r>
          <w:r>
            <w:rPr>
              <w:color w:val="000000"/>
              <w:sz w:val="20"/>
              <w:szCs w:val="20"/>
            </w:rPr>
            <w:fldChar w:fldCharType="end"/>
          </w:r>
        </w:p>
      </w:tc>
    </w:tr>
  </w:tbl>
  <w:p w:rsidR="00D038A3" w:rsidRDefault="00D038A3">
    <w:pPr>
      <w:pBdr>
        <w:top w:val="nil"/>
        <w:left w:val="nil"/>
        <w:bottom w:val="nil"/>
        <w:right w:val="nil"/>
        <w:between w:val="nil"/>
      </w:pBdr>
      <w:tabs>
        <w:tab w:val="center" w:pos="4819"/>
        <w:tab w:val="right" w:pos="9638"/>
      </w:tabs>
      <w:rPr>
        <w:color w:val="000000"/>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widowControl w:val="0"/>
      <w:pBdr>
        <w:top w:val="nil"/>
        <w:left w:val="nil"/>
        <w:bottom w:val="nil"/>
        <w:right w:val="nil"/>
        <w:between w:val="nil"/>
      </w:pBdr>
      <w:spacing w:line="276" w:lineRule="auto"/>
      <w:rPr>
        <w:color w:val="000000"/>
      </w:rPr>
    </w:pPr>
  </w:p>
  <w:tbl>
    <w:tblPr>
      <w:tblStyle w:val="a5"/>
      <w:tblW w:w="9639" w:type="dxa"/>
      <w:tblInd w:w="0" w:type="dxa"/>
      <w:tblBorders>
        <w:top w:val="single" w:sz="4" w:space="0" w:color="000000"/>
        <w:insideV w:val="single" w:sz="4" w:space="0" w:color="000000"/>
      </w:tblBorders>
      <w:tblLayout w:type="fixed"/>
      <w:tblLook w:val="0000" w:firstRow="0" w:lastRow="0" w:firstColumn="0" w:lastColumn="0" w:noHBand="0" w:noVBand="0"/>
    </w:tblPr>
    <w:tblGrid>
      <w:gridCol w:w="8166"/>
      <w:gridCol w:w="1473"/>
    </w:tblGrid>
    <w:tr w:rsidR="00D038A3">
      <w:tc>
        <w:tcPr>
          <w:tcW w:w="9639" w:type="dxa"/>
          <w:gridSpan w:val="2"/>
          <w:vAlign w:val="center"/>
        </w:tcPr>
        <w:p w:rsidR="00D038A3" w:rsidRDefault="00D038A3">
          <w:pPr>
            <w:pBdr>
              <w:top w:val="nil"/>
              <w:left w:val="nil"/>
              <w:bottom w:val="nil"/>
              <w:right w:val="nil"/>
              <w:between w:val="nil"/>
            </w:pBdr>
            <w:tabs>
              <w:tab w:val="center" w:pos="4819"/>
              <w:tab w:val="right" w:pos="9638"/>
            </w:tabs>
            <w:jc w:val="center"/>
            <w:rPr>
              <w:color w:val="000000"/>
              <w:sz w:val="12"/>
              <w:szCs w:val="12"/>
            </w:rPr>
          </w:pPr>
          <w:r>
            <w:rPr>
              <w:color w:val="000000"/>
              <w:sz w:val="14"/>
              <w:szCs w:val="14"/>
            </w:rPr>
            <w:t>Istituto Oncologico Veneto I.R.C.C.S.- Ospedale Busonera</w:t>
          </w:r>
          <w:r>
            <w:rPr>
              <w:color w:val="000000"/>
              <w:sz w:val="12"/>
              <w:szCs w:val="12"/>
            </w:rPr>
            <w:t xml:space="preserve"> – via </w:t>
          </w:r>
          <w:proofErr w:type="spellStart"/>
          <w:r>
            <w:rPr>
              <w:color w:val="000000"/>
              <w:sz w:val="12"/>
              <w:szCs w:val="12"/>
            </w:rPr>
            <w:t>Gattamelata</w:t>
          </w:r>
          <w:proofErr w:type="spellEnd"/>
          <w:r>
            <w:rPr>
              <w:color w:val="000000"/>
              <w:sz w:val="12"/>
              <w:szCs w:val="12"/>
            </w:rPr>
            <w:t xml:space="preserve"> 64 – 35128 Padova –P.I./C.F. 04074560287; </w:t>
          </w:r>
          <w:hyperlink r:id="rId1">
            <w:r>
              <w:rPr>
                <w:color w:val="0000FF"/>
                <w:sz w:val="12"/>
                <w:szCs w:val="12"/>
                <w:u w:val="single"/>
              </w:rPr>
              <w:t>www.ioveneto.it</w:t>
            </w:r>
          </w:hyperlink>
          <w:r>
            <w:rPr>
              <w:color w:val="000000"/>
              <w:sz w:val="12"/>
              <w:szCs w:val="12"/>
            </w:rPr>
            <w:t xml:space="preserve"> </w:t>
          </w:r>
        </w:p>
      </w:tc>
    </w:tr>
    <w:tr w:rsidR="00D038A3">
      <w:tc>
        <w:tcPr>
          <w:tcW w:w="8166" w:type="dxa"/>
          <w:tcBorders>
            <w:top w:val="nil"/>
          </w:tcBorders>
          <w:vAlign w:val="center"/>
        </w:tcPr>
        <w:p w:rsidR="00D038A3" w:rsidRDefault="00D038A3">
          <w:pPr>
            <w:pBdr>
              <w:top w:val="nil"/>
              <w:left w:val="nil"/>
              <w:bottom w:val="nil"/>
              <w:right w:val="nil"/>
              <w:between w:val="nil"/>
            </w:pBdr>
            <w:tabs>
              <w:tab w:val="center" w:pos="4819"/>
              <w:tab w:val="right" w:pos="9638"/>
            </w:tabs>
            <w:rPr>
              <w:color w:val="000000"/>
              <w:sz w:val="14"/>
              <w:szCs w:val="14"/>
            </w:rPr>
          </w:pPr>
        </w:p>
      </w:tc>
      <w:tc>
        <w:tcPr>
          <w:tcW w:w="1473" w:type="dxa"/>
          <w:tcBorders>
            <w:top w:val="nil"/>
          </w:tcBorders>
          <w:vAlign w:val="center"/>
        </w:tcPr>
        <w:p w:rsidR="00D038A3" w:rsidRDefault="00D038A3">
          <w:pPr>
            <w:pBdr>
              <w:top w:val="nil"/>
              <w:left w:val="nil"/>
              <w:bottom w:val="nil"/>
              <w:right w:val="nil"/>
              <w:between w:val="nil"/>
            </w:pBdr>
            <w:tabs>
              <w:tab w:val="center" w:pos="4819"/>
              <w:tab w:val="right" w:pos="9638"/>
            </w:tabs>
            <w:jc w:val="right"/>
            <w:rPr>
              <w:color w:val="000000"/>
              <w:sz w:val="12"/>
              <w:szCs w:val="12"/>
            </w:rPr>
          </w:pPr>
          <w:r>
            <w:rPr>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CB0B30">
            <w:rPr>
              <w:noProof/>
              <w:color w:val="000000"/>
              <w:sz w:val="20"/>
              <w:szCs w:val="20"/>
            </w:rPr>
            <w:t>1</w:t>
          </w:r>
          <w:r>
            <w:rPr>
              <w:color w:val="000000"/>
              <w:sz w:val="20"/>
              <w:szCs w:val="20"/>
            </w:rPr>
            <w:fldChar w:fldCharType="end"/>
          </w:r>
          <w:r>
            <w:rPr>
              <w:color w:val="000000"/>
              <w:sz w:val="20"/>
              <w:szCs w:val="20"/>
            </w:rPr>
            <w:t>/1</w:t>
          </w:r>
        </w:p>
      </w:tc>
    </w:tr>
  </w:tbl>
  <w:p w:rsidR="00D038A3" w:rsidRDefault="00D038A3">
    <w:pPr>
      <w:pBdr>
        <w:top w:val="nil"/>
        <w:left w:val="nil"/>
        <w:bottom w:val="nil"/>
        <w:right w:val="nil"/>
        <w:between w:val="nil"/>
      </w:pBdr>
      <w:tabs>
        <w:tab w:val="center" w:pos="4819"/>
        <w:tab w:val="right" w:pos="9638"/>
      </w:tabs>
      <w:jc w:val="right"/>
      <w:rPr>
        <w:color w:val="000000"/>
        <w:sz w:val="4"/>
        <w:szCs w:val="4"/>
      </w:rPr>
    </w:pPr>
  </w:p>
  <w:p w:rsidR="00D038A3" w:rsidRDefault="00D038A3">
    <w:pPr>
      <w:pBdr>
        <w:top w:val="nil"/>
        <w:left w:val="nil"/>
        <w:bottom w:val="nil"/>
        <w:right w:val="nil"/>
        <w:between w:val="nil"/>
      </w:pBdr>
      <w:tabs>
        <w:tab w:val="center" w:pos="4819"/>
        <w:tab w:val="right" w:pos="9638"/>
      </w:tabs>
      <w:rPr>
        <w:color w:val="00000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72" w:rsidRDefault="00C00E72">
      <w:r>
        <w:separator/>
      </w:r>
    </w:p>
  </w:footnote>
  <w:footnote w:type="continuationSeparator" w:id="0">
    <w:p w:rsidR="00C00E72" w:rsidRDefault="00C00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widowControl w:val="0"/>
      <w:pBdr>
        <w:top w:val="nil"/>
        <w:left w:val="nil"/>
        <w:bottom w:val="nil"/>
        <w:right w:val="nil"/>
        <w:between w:val="nil"/>
      </w:pBdr>
      <w:spacing w:line="276" w:lineRule="auto"/>
    </w:pPr>
  </w:p>
  <w:tbl>
    <w:tblPr>
      <w:tblStyle w:val="a3"/>
      <w:tblW w:w="9779" w:type="dxa"/>
      <w:jc w:val="center"/>
      <w:tblInd w:w="0" w:type="dxa"/>
      <w:tblLayout w:type="fixed"/>
      <w:tblLook w:val="0000" w:firstRow="0" w:lastRow="0" w:firstColumn="0" w:lastColumn="0" w:noHBand="0" w:noVBand="0"/>
    </w:tblPr>
    <w:tblGrid>
      <w:gridCol w:w="1134"/>
      <w:gridCol w:w="7508"/>
      <w:gridCol w:w="1137"/>
    </w:tblGrid>
    <w:tr w:rsidR="00D038A3">
      <w:trPr>
        <w:jc w:val="center"/>
      </w:trPr>
      <w:tc>
        <w:tcPr>
          <w:tcW w:w="1134" w:type="dxa"/>
          <w:vMerge w:val="restart"/>
        </w:tcPr>
        <w:p w:rsidR="00D038A3" w:rsidRDefault="00D038A3">
          <w:pPr>
            <w:jc w:val="center"/>
            <w:rPr>
              <w:sz w:val="20"/>
              <w:szCs w:val="20"/>
            </w:rPr>
          </w:pPr>
          <w:r>
            <w:rPr>
              <w:noProof/>
            </w:rPr>
            <w:drawing>
              <wp:anchor distT="0" distB="0" distL="114300" distR="114300" simplePos="0" relativeHeight="251658240" behindDoc="0" locked="0" layoutInCell="1" hidden="0" allowOverlap="1">
                <wp:simplePos x="0" y="0"/>
                <wp:positionH relativeFrom="column">
                  <wp:posOffset>73552</wp:posOffset>
                </wp:positionH>
                <wp:positionV relativeFrom="paragraph">
                  <wp:posOffset>4971</wp:posOffset>
                </wp:positionV>
                <wp:extent cx="457200" cy="457200"/>
                <wp:effectExtent l="0" t="0" r="0" b="0"/>
                <wp:wrapNone/>
                <wp:docPr id="8" name="image3.png" descr="regione_piccolo_OK"/>
                <wp:cNvGraphicFramePr/>
                <a:graphic xmlns:a="http://schemas.openxmlformats.org/drawingml/2006/main">
                  <a:graphicData uri="http://schemas.openxmlformats.org/drawingml/2006/picture">
                    <pic:pic xmlns:pic="http://schemas.openxmlformats.org/drawingml/2006/picture">
                      <pic:nvPicPr>
                        <pic:cNvPr id="0" name="image3.png" descr="regione_piccolo_OK"/>
                        <pic:cNvPicPr preferRelativeResize="0"/>
                      </pic:nvPicPr>
                      <pic:blipFill>
                        <a:blip r:embed="rId1"/>
                        <a:srcRect/>
                        <a:stretch>
                          <a:fillRect/>
                        </a:stretch>
                      </pic:blipFill>
                      <pic:spPr>
                        <a:xfrm>
                          <a:off x="0" y="0"/>
                          <a:ext cx="457200" cy="457200"/>
                        </a:xfrm>
                        <a:prstGeom prst="rect">
                          <a:avLst/>
                        </a:prstGeom>
                        <a:ln/>
                      </pic:spPr>
                    </pic:pic>
                  </a:graphicData>
                </a:graphic>
              </wp:anchor>
            </w:drawing>
          </w:r>
        </w:p>
      </w:tc>
      <w:tc>
        <w:tcPr>
          <w:tcW w:w="7508" w:type="dxa"/>
          <w:vAlign w:val="center"/>
        </w:tcPr>
        <w:p w:rsidR="00D038A3" w:rsidRDefault="00D038A3">
          <w:pPr>
            <w:pStyle w:val="Titolo"/>
            <w:spacing w:before="0" w:after="0"/>
            <w:rPr>
              <w:sz w:val="12"/>
              <w:szCs w:val="12"/>
            </w:rPr>
          </w:pPr>
          <w:r>
            <w:rPr>
              <w:sz w:val="12"/>
              <w:szCs w:val="12"/>
            </w:rPr>
            <w:t>REGIONE DEL VENETO</w:t>
          </w:r>
        </w:p>
      </w:tc>
      <w:tc>
        <w:tcPr>
          <w:tcW w:w="1137" w:type="dxa"/>
          <w:vMerge w:val="restart"/>
        </w:tcPr>
        <w:p w:rsidR="00D038A3" w:rsidRDefault="00D038A3">
          <w:pPr>
            <w:jc w:val="center"/>
          </w:pPr>
          <w:r>
            <w:rPr>
              <w:noProof/>
            </w:rPr>
            <w:drawing>
              <wp:anchor distT="0" distB="0" distL="114300" distR="114300" simplePos="0" relativeHeight="251659264" behindDoc="0" locked="0" layoutInCell="1" hidden="0" allowOverlap="1">
                <wp:simplePos x="0" y="0"/>
                <wp:positionH relativeFrom="column">
                  <wp:posOffset>82551</wp:posOffset>
                </wp:positionH>
                <wp:positionV relativeFrom="paragraph">
                  <wp:posOffset>1383</wp:posOffset>
                </wp:positionV>
                <wp:extent cx="444500" cy="457200"/>
                <wp:effectExtent l="0" t="0" r="0" b="0"/>
                <wp:wrapNone/>
                <wp:docPr id="5" name="image2.jpg" descr="logoScuro_IOV senza padova"/>
                <wp:cNvGraphicFramePr/>
                <a:graphic xmlns:a="http://schemas.openxmlformats.org/drawingml/2006/main">
                  <a:graphicData uri="http://schemas.openxmlformats.org/drawingml/2006/picture">
                    <pic:pic xmlns:pic="http://schemas.openxmlformats.org/drawingml/2006/picture">
                      <pic:nvPicPr>
                        <pic:cNvPr id="0" name="image2.jpg" descr="logoScuro_IOV senza padova"/>
                        <pic:cNvPicPr preferRelativeResize="0"/>
                      </pic:nvPicPr>
                      <pic:blipFill>
                        <a:blip r:embed="rId2"/>
                        <a:srcRect/>
                        <a:stretch>
                          <a:fillRect/>
                        </a:stretch>
                      </pic:blipFill>
                      <pic:spPr>
                        <a:xfrm>
                          <a:off x="0" y="0"/>
                          <a:ext cx="444500" cy="457200"/>
                        </a:xfrm>
                        <a:prstGeom prst="rect">
                          <a:avLst/>
                        </a:prstGeom>
                        <a:ln/>
                      </pic:spPr>
                    </pic:pic>
                  </a:graphicData>
                </a:graphic>
              </wp:anchor>
            </w:drawing>
          </w:r>
        </w:p>
      </w:tc>
    </w:tr>
    <w:tr w:rsidR="00D038A3">
      <w:trPr>
        <w:jc w:val="center"/>
      </w:trPr>
      <w:tc>
        <w:tcPr>
          <w:tcW w:w="1134" w:type="dxa"/>
          <w:vMerge/>
        </w:tcPr>
        <w:p w:rsidR="00D038A3" w:rsidRDefault="00D038A3">
          <w:pPr>
            <w:widowControl w:val="0"/>
            <w:pBdr>
              <w:top w:val="nil"/>
              <w:left w:val="nil"/>
              <w:bottom w:val="nil"/>
              <w:right w:val="nil"/>
              <w:between w:val="nil"/>
            </w:pBdr>
            <w:spacing w:line="276" w:lineRule="auto"/>
          </w:pPr>
        </w:p>
      </w:tc>
      <w:tc>
        <w:tcPr>
          <w:tcW w:w="7508" w:type="dxa"/>
          <w:vAlign w:val="center"/>
        </w:tcPr>
        <w:p w:rsidR="00D038A3" w:rsidRDefault="00D038A3">
          <w:pPr>
            <w:pStyle w:val="Sottotitolo"/>
            <w:spacing w:before="60" w:after="40"/>
            <w:rPr>
              <w:sz w:val="18"/>
              <w:szCs w:val="18"/>
            </w:rPr>
          </w:pPr>
          <w:r>
            <w:rPr>
              <w:sz w:val="18"/>
              <w:szCs w:val="18"/>
            </w:rPr>
            <w:t>Istituto Oncologico Veneto</w:t>
          </w:r>
        </w:p>
        <w:p w:rsidR="00D038A3" w:rsidRDefault="00D038A3">
          <w:pPr>
            <w:pStyle w:val="Sottotitolo"/>
            <w:spacing w:before="60" w:after="40"/>
            <w:rPr>
              <w:sz w:val="18"/>
              <w:szCs w:val="18"/>
            </w:rPr>
          </w:pPr>
          <w:r>
            <w:rPr>
              <w:sz w:val="18"/>
              <w:szCs w:val="18"/>
            </w:rPr>
            <w:t>Istituto di Ricovero e Cura a Carattere Scientifico</w:t>
          </w:r>
        </w:p>
      </w:tc>
      <w:tc>
        <w:tcPr>
          <w:tcW w:w="1137" w:type="dxa"/>
          <w:vMerge/>
        </w:tcPr>
        <w:p w:rsidR="00D038A3" w:rsidRDefault="00D038A3">
          <w:pPr>
            <w:widowControl w:val="0"/>
            <w:pBdr>
              <w:top w:val="nil"/>
              <w:left w:val="nil"/>
              <w:bottom w:val="nil"/>
              <w:right w:val="nil"/>
              <w:between w:val="nil"/>
            </w:pBdr>
            <w:spacing w:line="276" w:lineRule="auto"/>
            <w:rPr>
              <w:sz w:val="18"/>
              <w:szCs w:val="18"/>
            </w:rPr>
          </w:pPr>
        </w:p>
      </w:tc>
    </w:tr>
    <w:tr w:rsidR="00D038A3">
      <w:trPr>
        <w:jc w:val="center"/>
      </w:trPr>
      <w:tc>
        <w:tcPr>
          <w:tcW w:w="1134" w:type="dxa"/>
          <w:tcBorders>
            <w:bottom w:val="single" w:sz="4" w:space="0" w:color="000000"/>
          </w:tcBorders>
        </w:tcPr>
        <w:p w:rsidR="00D038A3" w:rsidRDefault="00D038A3"/>
      </w:tc>
      <w:tc>
        <w:tcPr>
          <w:tcW w:w="7508" w:type="dxa"/>
          <w:tcBorders>
            <w:bottom w:val="single" w:sz="4" w:space="0" w:color="000000"/>
          </w:tcBorders>
          <w:vAlign w:val="center"/>
        </w:tcPr>
        <w:p w:rsidR="00D038A3" w:rsidRDefault="00D038A3">
          <w:pPr>
            <w:pStyle w:val="Sottotitolo"/>
            <w:spacing w:before="60" w:after="40"/>
            <w:rPr>
              <w:sz w:val="18"/>
              <w:szCs w:val="18"/>
            </w:rPr>
          </w:pPr>
        </w:p>
      </w:tc>
      <w:tc>
        <w:tcPr>
          <w:tcW w:w="1137" w:type="dxa"/>
          <w:tcBorders>
            <w:bottom w:val="single" w:sz="4" w:space="0" w:color="000000"/>
          </w:tcBorders>
        </w:tcPr>
        <w:p w:rsidR="00D038A3" w:rsidRDefault="00D038A3">
          <w:pPr>
            <w:jc w:val="right"/>
            <w:rPr>
              <w:sz w:val="20"/>
              <w:szCs w:val="20"/>
            </w:rPr>
          </w:pPr>
        </w:p>
      </w:tc>
    </w:tr>
  </w:tbl>
  <w:p w:rsidR="00D038A3" w:rsidRDefault="00D038A3">
    <w:pPr>
      <w:pStyle w:val="Sottotitolo"/>
      <w:spacing w:before="40" w:after="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3" w:rsidRDefault="00D038A3">
    <w:pPr>
      <w:widowControl w:val="0"/>
      <w:pBdr>
        <w:top w:val="nil"/>
        <w:left w:val="nil"/>
        <w:bottom w:val="nil"/>
        <w:right w:val="nil"/>
        <w:between w:val="nil"/>
      </w:pBdr>
      <w:spacing w:line="276" w:lineRule="auto"/>
      <w:rPr>
        <w:color w:val="000000"/>
      </w:rPr>
    </w:pPr>
  </w:p>
  <w:tbl>
    <w:tblPr>
      <w:tblStyle w:val="a4"/>
      <w:tblW w:w="9356" w:type="dxa"/>
      <w:tblInd w:w="212" w:type="dxa"/>
      <w:tblLayout w:type="fixed"/>
      <w:tblLook w:val="0000" w:firstRow="0" w:lastRow="0" w:firstColumn="0" w:lastColumn="0" w:noHBand="0" w:noVBand="0"/>
    </w:tblPr>
    <w:tblGrid>
      <w:gridCol w:w="1423"/>
      <w:gridCol w:w="6515"/>
      <w:gridCol w:w="1418"/>
    </w:tblGrid>
    <w:tr w:rsidR="00D038A3">
      <w:trPr>
        <w:trHeight w:val="282"/>
      </w:trPr>
      <w:tc>
        <w:tcPr>
          <w:tcW w:w="1423" w:type="dxa"/>
          <w:vMerge w:val="restart"/>
        </w:tcPr>
        <w:p w:rsidR="00D038A3" w:rsidRDefault="00D038A3">
          <w:pPr>
            <w:rPr>
              <w:sz w:val="20"/>
              <w:szCs w:val="20"/>
            </w:rPr>
          </w:pPr>
          <w:r>
            <w:rPr>
              <w:noProof/>
            </w:rPr>
            <w:drawing>
              <wp:anchor distT="0" distB="0" distL="114300" distR="114300" simplePos="0" relativeHeight="251660288" behindDoc="0" locked="0" layoutInCell="1" hidden="0" allowOverlap="1">
                <wp:simplePos x="0" y="0"/>
                <wp:positionH relativeFrom="column">
                  <wp:posOffset>-3174</wp:posOffset>
                </wp:positionH>
                <wp:positionV relativeFrom="paragraph">
                  <wp:posOffset>147320</wp:posOffset>
                </wp:positionV>
                <wp:extent cx="476250" cy="571500"/>
                <wp:effectExtent l="0" t="0" r="0" b="0"/>
                <wp:wrapNone/>
                <wp:docPr id="6" name="image2.jpg" descr="logoScuro_IOV senza padova"/>
                <wp:cNvGraphicFramePr/>
                <a:graphic xmlns:a="http://schemas.openxmlformats.org/drawingml/2006/main">
                  <a:graphicData uri="http://schemas.openxmlformats.org/drawingml/2006/picture">
                    <pic:pic xmlns:pic="http://schemas.openxmlformats.org/drawingml/2006/picture">
                      <pic:nvPicPr>
                        <pic:cNvPr id="0" name="image2.jpg" descr="logoScuro_IOV senza padova"/>
                        <pic:cNvPicPr preferRelativeResize="0"/>
                      </pic:nvPicPr>
                      <pic:blipFill>
                        <a:blip r:embed="rId1"/>
                        <a:srcRect/>
                        <a:stretch>
                          <a:fillRect/>
                        </a:stretch>
                      </pic:blipFill>
                      <pic:spPr>
                        <a:xfrm>
                          <a:off x="0" y="0"/>
                          <a:ext cx="476250" cy="571500"/>
                        </a:xfrm>
                        <a:prstGeom prst="rect">
                          <a:avLst/>
                        </a:prstGeom>
                        <a:ln/>
                      </pic:spPr>
                    </pic:pic>
                  </a:graphicData>
                </a:graphic>
              </wp:anchor>
            </w:drawing>
          </w:r>
        </w:p>
      </w:tc>
      <w:tc>
        <w:tcPr>
          <w:tcW w:w="6515" w:type="dxa"/>
          <w:vAlign w:val="center"/>
        </w:tcPr>
        <w:p w:rsidR="00D038A3" w:rsidRDefault="00D038A3">
          <w:pPr>
            <w:pStyle w:val="Titolo"/>
            <w:spacing w:before="0" w:after="0"/>
            <w:rPr>
              <w:sz w:val="18"/>
              <w:szCs w:val="18"/>
            </w:rPr>
          </w:pPr>
          <w:r>
            <w:rPr>
              <w:sz w:val="18"/>
              <w:szCs w:val="18"/>
            </w:rPr>
            <w:t>REGIONE DEL VENETO</w:t>
          </w:r>
        </w:p>
      </w:tc>
      <w:tc>
        <w:tcPr>
          <w:tcW w:w="1418" w:type="dxa"/>
          <w:vMerge w:val="restart"/>
        </w:tcPr>
        <w:p w:rsidR="00D038A3" w:rsidRDefault="00D038A3">
          <w:r>
            <w:rPr>
              <w:noProof/>
            </w:rPr>
            <w:drawing>
              <wp:inline distT="0" distB="0" distL="0" distR="0">
                <wp:extent cx="807720" cy="605790"/>
                <wp:effectExtent l="0" t="0" r="0" b="0"/>
                <wp:docPr id="7" name="image1.jpg" descr="Logo_Regione_Veneto_1"/>
                <wp:cNvGraphicFramePr/>
                <a:graphic xmlns:a="http://schemas.openxmlformats.org/drawingml/2006/main">
                  <a:graphicData uri="http://schemas.openxmlformats.org/drawingml/2006/picture">
                    <pic:pic xmlns:pic="http://schemas.openxmlformats.org/drawingml/2006/picture">
                      <pic:nvPicPr>
                        <pic:cNvPr id="0" name="image1.jpg" descr="Logo_Regione_Veneto_1"/>
                        <pic:cNvPicPr preferRelativeResize="0"/>
                      </pic:nvPicPr>
                      <pic:blipFill>
                        <a:blip r:embed="rId2"/>
                        <a:srcRect/>
                        <a:stretch>
                          <a:fillRect/>
                        </a:stretch>
                      </pic:blipFill>
                      <pic:spPr>
                        <a:xfrm>
                          <a:off x="0" y="0"/>
                          <a:ext cx="807720" cy="605790"/>
                        </a:xfrm>
                        <a:prstGeom prst="rect">
                          <a:avLst/>
                        </a:prstGeom>
                        <a:ln/>
                      </pic:spPr>
                    </pic:pic>
                  </a:graphicData>
                </a:graphic>
              </wp:inline>
            </w:drawing>
          </w:r>
        </w:p>
      </w:tc>
    </w:tr>
    <w:tr w:rsidR="00D038A3">
      <w:trPr>
        <w:trHeight w:val="427"/>
      </w:trPr>
      <w:tc>
        <w:tcPr>
          <w:tcW w:w="1423" w:type="dxa"/>
          <w:vMerge/>
        </w:tcPr>
        <w:p w:rsidR="00D038A3" w:rsidRDefault="00D038A3">
          <w:pPr>
            <w:widowControl w:val="0"/>
            <w:pBdr>
              <w:top w:val="nil"/>
              <w:left w:val="nil"/>
              <w:bottom w:val="nil"/>
              <w:right w:val="nil"/>
              <w:between w:val="nil"/>
            </w:pBdr>
            <w:spacing w:line="276" w:lineRule="auto"/>
          </w:pPr>
        </w:p>
      </w:tc>
      <w:tc>
        <w:tcPr>
          <w:tcW w:w="6515" w:type="dxa"/>
          <w:vAlign w:val="center"/>
        </w:tcPr>
        <w:p w:rsidR="00D038A3" w:rsidRDefault="00D038A3">
          <w:pPr>
            <w:pStyle w:val="Sottotitolo"/>
            <w:spacing w:before="80" w:after="80"/>
          </w:pPr>
          <w:r>
            <w:t>Istituto Oncologico del Veneto</w:t>
          </w:r>
        </w:p>
      </w:tc>
      <w:tc>
        <w:tcPr>
          <w:tcW w:w="1418" w:type="dxa"/>
          <w:vMerge/>
        </w:tcPr>
        <w:p w:rsidR="00D038A3" w:rsidRDefault="00D038A3">
          <w:pPr>
            <w:widowControl w:val="0"/>
            <w:pBdr>
              <w:top w:val="nil"/>
              <w:left w:val="nil"/>
              <w:bottom w:val="nil"/>
              <w:right w:val="nil"/>
              <w:between w:val="nil"/>
            </w:pBdr>
            <w:spacing w:line="276" w:lineRule="auto"/>
          </w:pPr>
        </w:p>
      </w:tc>
    </w:tr>
    <w:tr w:rsidR="00D038A3">
      <w:trPr>
        <w:trHeight w:val="421"/>
      </w:trPr>
      <w:tc>
        <w:tcPr>
          <w:tcW w:w="1423" w:type="dxa"/>
          <w:vMerge/>
        </w:tcPr>
        <w:p w:rsidR="00D038A3" w:rsidRDefault="00D038A3">
          <w:pPr>
            <w:widowControl w:val="0"/>
            <w:pBdr>
              <w:top w:val="nil"/>
              <w:left w:val="nil"/>
              <w:bottom w:val="nil"/>
              <w:right w:val="nil"/>
              <w:between w:val="nil"/>
            </w:pBdr>
            <w:spacing w:line="276" w:lineRule="auto"/>
          </w:pPr>
        </w:p>
      </w:tc>
      <w:tc>
        <w:tcPr>
          <w:tcW w:w="6515" w:type="dxa"/>
          <w:vAlign w:val="center"/>
        </w:tcPr>
        <w:p w:rsidR="00D038A3" w:rsidRDefault="00D038A3">
          <w:pPr>
            <w:pStyle w:val="Sottotitolo"/>
            <w:spacing w:before="80" w:after="80"/>
            <w:rPr>
              <w:sz w:val="28"/>
              <w:szCs w:val="28"/>
            </w:rPr>
          </w:pPr>
          <w:r>
            <w:rPr>
              <w:b w:val="0"/>
              <w:sz w:val="28"/>
              <w:szCs w:val="28"/>
            </w:rPr>
            <w:t>Istituto di Ricovero e Cura a Carattere Scientifico</w:t>
          </w:r>
        </w:p>
      </w:tc>
      <w:tc>
        <w:tcPr>
          <w:tcW w:w="1418" w:type="dxa"/>
          <w:vMerge/>
        </w:tcPr>
        <w:p w:rsidR="00D038A3" w:rsidRDefault="00D038A3">
          <w:pPr>
            <w:widowControl w:val="0"/>
            <w:pBdr>
              <w:top w:val="nil"/>
              <w:left w:val="nil"/>
              <w:bottom w:val="nil"/>
              <w:right w:val="nil"/>
              <w:between w:val="nil"/>
            </w:pBdr>
            <w:spacing w:line="276" w:lineRule="auto"/>
            <w:rPr>
              <w:sz w:val="28"/>
              <w:szCs w:val="28"/>
            </w:rPr>
          </w:pPr>
        </w:p>
      </w:tc>
    </w:tr>
  </w:tbl>
  <w:p w:rsidR="00D038A3" w:rsidRDefault="00D038A3">
    <w:pPr>
      <w:pStyle w:val="Sottotitolo"/>
      <w:spacing w:before="120"/>
      <w:rPr>
        <w:sz w:val="22"/>
        <w:szCs w:val="22"/>
      </w:rPr>
    </w:pPr>
    <w:r>
      <w:rPr>
        <w:sz w:val="22"/>
        <w:szCs w:val="22"/>
      </w:rPr>
      <w:t>UOS SERVIZI TECNICI E PATRIMONIALI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2E4"/>
    <w:multiLevelType w:val="hybridMultilevel"/>
    <w:tmpl w:val="E668D390"/>
    <w:lvl w:ilvl="0" w:tplc="897E08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8362E"/>
    <w:multiLevelType w:val="hybridMultilevel"/>
    <w:tmpl w:val="5D3641D4"/>
    <w:lvl w:ilvl="0" w:tplc="B91CFDC4">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B537660"/>
    <w:multiLevelType w:val="hybridMultilevel"/>
    <w:tmpl w:val="BE069264"/>
    <w:lvl w:ilvl="0" w:tplc="06CAC7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82599"/>
    <w:multiLevelType w:val="hybridMultilevel"/>
    <w:tmpl w:val="21726AF6"/>
    <w:lvl w:ilvl="0" w:tplc="B91CF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CA4CE5"/>
    <w:multiLevelType w:val="hybridMultilevel"/>
    <w:tmpl w:val="89608B32"/>
    <w:lvl w:ilvl="0" w:tplc="B91CFDC4">
      <w:numFmt w:val="bullet"/>
      <w:lvlText w:val="-"/>
      <w:lvlJc w:val="left"/>
      <w:pPr>
        <w:ind w:left="1500" w:hanging="360"/>
      </w:pPr>
      <w:rPr>
        <w:rFonts w:ascii="Times New Roman" w:eastAsia="Times New Roman" w:hAnsi="Times New Roman" w:cs="Times New Roman"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5" w15:restartNumberingAfterBreak="0">
    <w:nsid w:val="285A493C"/>
    <w:multiLevelType w:val="hybridMultilevel"/>
    <w:tmpl w:val="E9BA0BFE"/>
    <w:lvl w:ilvl="0" w:tplc="F07429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866E80"/>
    <w:multiLevelType w:val="hybridMultilevel"/>
    <w:tmpl w:val="AFCEE2CC"/>
    <w:lvl w:ilvl="0" w:tplc="B51A51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B010AA"/>
    <w:multiLevelType w:val="hybridMultilevel"/>
    <w:tmpl w:val="FD08D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E27D61"/>
    <w:multiLevelType w:val="hybridMultilevel"/>
    <w:tmpl w:val="A6B01C62"/>
    <w:lvl w:ilvl="0" w:tplc="B91CF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D96057"/>
    <w:multiLevelType w:val="multilevel"/>
    <w:tmpl w:val="4E580E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8E1C58"/>
    <w:multiLevelType w:val="hybridMultilevel"/>
    <w:tmpl w:val="937C6266"/>
    <w:lvl w:ilvl="0" w:tplc="0DEEDA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8339C7"/>
    <w:multiLevelType w:val="hybridMultilevel"/>
    <w:tmpl w:val="8F681094"/>
    <w:lvl w:ilvl="0" w:tplc="B91CF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9F3785"/>
    <w:multiLevelType w:val="hybridMultilevel"/>
    <w:tmpl w:val="E56E3E54"/>
    <w:lvl w:ilvl="0" w:tplc="B91CFDC4">
      <w:numFmt w:val="bullet"/>
      <w:lvlText w:val="-"/>
      <w:lvlJc w:val="left"/>
      <w:pPr>
        <w:ind w:left="720" w:hanging="360"/>
      </w:pPr>
      <w:rPr>
        <w:rFonts w:ascii="Times New Roman" w:eastAsia="Times New Roman" w:hAnsi="Times New Roman" w:cs="Times New Roman" w:hint="default"/>
      </w:rPr>
    </w:lvl>
    <w:lvl w:ilvl="1" w:tplc="A5FA009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E20597"/>
    <w:multiLevelType w:val="hybridMultilevel"/>
    <w:tmpl w:val="BBDEB2B6"/>
    <w:lvl w:ilvl="0" w:tplc="661CAF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17687A"/>
    <w:multiLevelType w:val="hybridMultilevel"/>
    <w:tmpl w:val="E174C20C"/>
    <w:lvl w:ilvl="0" w:tplc="B91CF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B858F6"/>
    <w:multiLevelType w:val="hybridMultilevel"/>
    <w:tmpl w:val="24C27DA8"/>
    <w:lvl w:ilvl="0" w:tplc="B91CF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07143A"/>
    <w:multiLevelType w:val="hybridMultilevel"/>
    <w:tmpl w:val="4C446374"/>
    <w:lvl w:ilvl="0" w:tplc="0410000F">
      <w:start w:val="1"/>
      <w:numFmt w:val="decimal"/>
      <w:lvlText w:val="%1."/>
      <w:lvlJc w:val="left"/>
      <w:pPr>
        <w:ind w:left="720" w:hanging="360"/>
      </w:pPr>
      <w:rPr>
        <w:rFonts w:hint="default"/>
      </w:rPr>
    </w:lvl>
    <w:lvl w:ilvl="1" w:tplc="B91CFDC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0E1514"/>
    <w:multiLevelType w:val="hybridMultilevel"/>
    <w:tmpl w:val="97228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13"/>
  </w:num>
  <w:num w:numId="6">
    <w:abstractNumId w:val="7"/>
  </w:num>
  <w:num w:numId="7">
    <w:abstractNumId w:val="5"/>
  </w:num>
  <w:num w:numId="8">
    <w:abstractNumId w:val="16"/>
  </w:num>
  <w:num w:numId="9">
    <w:abstractNumId w:val="17"/>
  </w:num>
  <w:num w:numId="10">
    <w:abstractNumId w:val="12"/>
  </w:num>
  <w:num w:numId="11">
    <w:abstractNumId w:val="11"/>
  </w:num>
  <w:num w:numId="12">
    <w:abstractNumId w:val="4"/>
  </w:num>
  <w:num w:numId="13">
    <w:abstractNumId w:val="8"/>
  </w:num>
  <w:num w:numId="14">
    <w:abstractNumId w:val="1"/>
  </w:num>
  <w:num w:numId="15">
    <w:abstractNumId w:val="14"/>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4D"/>
    <w:rsid w:val="000C7685"/>
    <w:rsid w:val="000D225E"/>
    <w:rsid w:val="000F618F"/>
    <w:rsid w:val="001422B6"/>
    <w:rsid w:val="00145727"/>
    <w:rsid w:val="001E1D7A"/>
    <w:rsid w:val="001F227C"/>
    <w:rsid w:val="0028150F"/>
    <w:rsid w:val="002C6A6B"/>
    <w:rsid w:val="002D1409"/>
    <w:rsid w:val="0032616D"/>
    <w:rsid w:val="0036225F"/>
    <w:rsid w:val="003B4CE4"/>
    <w:rsid w:val="003C5808"/>
    <w:rsid w:val="00436D6E"/>
    <w:rsid w:val="0046595C"/>
    <w:rsid w:val="005879C9"/>
    <w:rsid w:val="005B4775"/>
    <w:rsid w:val="005E1CF7"/>
    <w:rsid w:val="00644FCA"/>
    <w:rsid w:val="006474DF"/>
    <w:rsid w:val="00666586"/>
    <w:rsid w:val="00673D01"/>
    <w:rsid w:val="00754120"/>
    <w:rsid w:val="00823A10"/>
    <w:rsid w:val="008347DD"/>
    <w:rsid w:val="0088058F"/>
    <w:rsid w:val="00886EA6"/>
    <w:rsid w:val="00902E4C"/>
    <w:rsid w:val="009153DF"/>
    <w:rsid w:val="00936B30"/>
    <w:rsid w:val="00963806"/>
    <w:rsid w:val="009B24EF"/>
    <w:rsid w:val="009D6066"/>
    <w:rsid w:val="009F2ED6"/>
    <w:rsid w:val="00A1098E"/>
    <w:rsid w:val="00A53E60"/>
    <w:rsid w:val="00A605FE"/>
    <w:rsid w:val="00B00E38"/>
    <w:rsid w:val="00B8298A"/>
    <w:rsid w:val="00B91778"/>
    <w:rsid w:val="00BA42B6"/>
    <w:rsid w:val="00BA7717"/>
    <w:rsid w:val="00C00E72"/>
    <w:rsid w:val="00CA6FFC"/>
    <w:rsid w:val="00CA781C"/>
    <w:rsid w:val="00CB0B30"/>
    <w:rsid w:val="00D038A3"/>
    <w:rsid w:val="00D41CFE"/>
    <w:rsid w:val="00D436DD"/>
    <w:rsid w:val="00DC6A62"/>
    <w:rsid w:val="00EB6191"/>
    <w:rsid w:val="00FC096A"/>
    <w:rsid w:val="00FC0BF8"/>
    <w:rsid w:val="00FC4D4D"/>
    <w:rsid w:val="00FC5D17"/>
    <w:rsid w:val="00FE1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2BF6"/>
  <w15:docId w15:val="{5C24C2AB-9159-431C-A008-BB5AB799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5FB"/>
  </w:style>
  <w:style w:type="paragraph" w:styleId="Titolo1">
    <w:name w:val="heading 1"/>
    <w:basedOn w:val="Normale"/>
    <w:next w:val="Normale"/>
    <w:qFormat/>
    <w:pPr>
      <w:keepNext/>
      <w:pBdr>
        <w:top w:val="single" w:sz="6" w:space="1" w:color="auto"/>
        <w:left w:val="single" w:sz="6" w:space="1" w:color="auto"/>
        <w:bottom w:val="single" w:sz="6" w:space="1" w:color="auto"/>
        <w:right w:val="single" w:sz="6" w:space="1" w:color="auto"/>
      </w:pBdr>
      <w:outlineLvl w:val="0"/>
    </w:pPr>
    <w:rPr>
      <w:i/>
      <w:iCs/>
      <w:lang w:val="de-DE"/>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outlineLvl w:val="1"/>
    </w:pPr>
    <w:rPr>
      <w:b/>
      <w:bCs/>
      <w:i/>
      <w:iCs/>
    </w:rPr>
  </w:style>
  <w:style w:type="paragraph" w:styleId="Titolo3">
    <w:name w:val="heading 3"/>
    <w:basedOn w:val="Normale"/>
    <w:next w:val="Normale"/>
    <w:qFormat/>
    <w:pPr>
      <w:keepNext/>
      <w:ind w:hanging="1"/>
      <w:outlineLvl w:val="2"/>
    </w:pPr>
    <w:rPr>
      <w:rFonts w:ascii="Algerian" w:hAnsi="Algerian"/>
      <w:b/>
      <w:bCs/>
      <w:i/>
      <w:iCs/>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pBdr>
        <w:top w:val="single" w:sz="6" w:space="1" w:color="auto"/>
      </w:pBdr>
      <w:spacing w:before="40"/>
      <w:jc w:val="center"/>
      <w:outlineLvl w:val="4"/>
    </w:pPr>
    <w:rPr>
      <w:b/>
    </w:rPr>
  </w:style>
  <w:style w:type="paragraph" w:styleId="Titolo6">
    <w:name w:val="heading 6"/>
    <w:basedOn w:val="Normale"/>
    <w:next w:val="Normale"/>
    <w:qFormat/>
    <w:pPr>
      <w:keepNext/>
      <w:outlineLvl w:val="5"/>
    </w:pPr>
    <w:rPr>
      <w:b/>
      <w:bCs/>
    </w:rPr>
  </w:style>
  <w:style w:type="paragraph" w:styleId="Titolo7">
    <w:name w:val="heading 7"/>
    <w:basedOn w:val="Normale"/>
    <w:next w:val="Normale"/>
    <w:qFormat/>
    <w:pPr>
      <w:keepNext/>
      <w:outlineLvl w:val="6"/>
    </w:pPr>
    <w:rPr>
      <w:i/>
      <w:iCs/>
      <w:sz w:val="16"/>
    </w:rPr>
  </w:style>
  <w:style w:type="paragraph" w:styleId="Titolo8">
    <w:name w:val="heading 8"/>
    <w:basedOn w:val="Normale"/>
    <w:next w:val="Normale"/>
    <w:link w:val="Titolo8Carattere"/>
    <w:qFormat/>
    <w:pPr>
      <w:keepNext/>
      <w:spacing w:before="120"/>
      <w:ind w:right="215"/>
      <w:outlineLvl w:val="7"/>
    </w:pPr>
    <w:rPr>
      <w:i/>
      <w:iCs/>
    </w:rPr>
  </w:style>
  <w:style w:type="paragraph" w:styleId="Titolo9">
    <w:name w:val="heading 9"/>
    <w:basedOn w:val="Normale"/>
    <w:next w:val="Normale"/>
    <w:qFormat/>
    <w:pPr>
      <w:keepNext/>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pPr>
      <w:spacing w:before="240" w:after="240"/>
      <w:jc w:val="center"/>
    </w:pPr>
    <w:rPr>
      <w:b/>
      <w:spacing w:val="60"/>
      <w:sz w:val="2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ttotitolo">
    <w:name w:val="Subtitle"/>
    <w:basedOn w:val="Normale"/>
    <w:next w:val="Normale"/>
    <w:pPr>
      <w:spacing w:before="240" w:after="240"/>
      <w:jc w:val="center"/>
    </w:pPr>
    <w:rPr>
      <w:b/>
      <w:sz w:val="32"/>
      <w:szCs w:val="32"/>
    </w:rPr>
  </w:style>
  <w:style w:type="character" w:styleId="Rimandocommento">
    <w:name w:val="annotation reference"/>
    <w:semiHidden/>
    <w:rPr>
      <w:sz w:val="16"/>
      <w:szCs w:val="16"/>
    </w:rPr>
  </w:style>
  <w:style w:type="paragraph" w:customStyle="1" w:styleId="Testo">
    <w:name w:val="Testo"/>
    <w:basedOn w:val="Normale"/>
    <w:pPr>
      <w:spacing w:before="60" w:after="60"/>
      <w:ind w:firstLine="709"/>
      <w:jc w:val="both"/>
    </w:pPr>
  </w:style>
  <w:style w:type="paragraph" w:styleId="Testocommento">
    <w:name w:val="annotation text"/>
    <w:basedOn w:val="Normale"/>
    <w:link w:val="TestocommentoCarattere"/>
    <w:semiHidden/>
    <w:rPr>
      <w:sz w:val="20"/>
    </w:rPr>
  </w:style>
  <w:style w:type="character" w:styleId="Collegamentoipertestuale">
    <w:name w:val="Hyperlink"/>
    <w:rPr>
      <w:color w:val="0000FF"/>
      <w:u w:val="single"/>
    </w:rPr>
  </w:style>
  <w:style w:type="paragraph" w:styleId="Didascalia">
    <w:name w:val="caption"/>
    <w:basedOn w:val="Normale"/>
    <w:next w:val="Normale"/>
    <w:qFormat/>
    <w:pPr>
      <w:spacing w:before="120" w:after="60"/>
    </w:pPr>
    <w:rPr>
      <w:i/>
      <w:iCs/>
      <w:sz w:val="16"/>
    </w:rPr>
  </w:style>
  <w:style w:type="paragraph" w:styleId="Corpotesto">
    <w:name w:val="Body Text"/>
    <w:basedOn w:val="Normale"/>
    <w:pPr>
      <w:jc w:val="both"/>
    </w:pPr>
  </w:style>
  <w:style w:type="paragraph" w:styleId="Testofumetto">
    <w:name w:val="Balloon Text"/>
    <w:basedOn w:val="Normale"/>
    <w:semiHidden/>
    <w:rsid w:val="00314E76"/>
    <w:rPr>
      <w:rFonts w:ascii="Tahoma" w:hAnsi="Tahoma" w:cs="Tahoma"/>
      <w:sz w:val="16"/>
      <w:szCs w:val="16"/>
    </w:rPr>
  </w:style>
  <w:style w:type="character" w:customStyle="1" w:styleId="Titolo8Carattere">
    <w:name w:val="Titolo 8 Carattere"/>
    <w:link w:val="Titolo8"/>
    <w:rsid w:val="0028393A"/>
    <w:rPr>
      <w:i/>
      <w:iCs/>
      <w:sz w:val="24"/>
    </w:rPr>
  </w:style>
  <w:style w:type="table" w:styleId="Grigliatabella">
    <w:name w:val="Table Grid"/>
    <w:basedOn w:val="Tabellanormale"/>
    <w:rsid w:val="00D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D645FB"/>
  </w:style>
  <w:style w:type="paragraph" w:styleId="Paragrafoelenco">
    <w:name w:val="List Paragraph"/>
    <w:basedOn w:val="Normale"/>
    <w:uiPriority w:val="34"/>
    <w:qFormat/>
    <w:rsid w:val="00D645F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rpodeltesto21">
    <w:name w:val="Corpo del testo 21"/>
    <w:basedOn w:val="Normale"/>
    <w:rsid w:val="00B51A1B"/>
    <w:pPr>
      <w:spacing w:after="120" w:line="480" w:lineRule="auto"/>
      <w:ind w:leftChars="-1" w:left="-1" w:hangingChars="1" w:hanging="1"/>
      <w:textDirection w:val="btLr"/>
      <w:textAlignment w:val="top"/>
      <w:outlineLvl w:val="0"/>
    </w:pPr>
    <w:rPr>
      <w:position w:val="-1"/>
      <w:lang w:eastAsia="ar-SA"/>
    </w:rPr>
  </w:style>
  <w:style w:type="character" w:styleId="Enfasigrassetto">
    <w:name w:val="Strong"/>
    <w:basedOn w:val="Carpredefinitoparagrafo"/>
    <w:uiPriority w:val="22"/>
    <w:qFormat/>
    <w:rsid w:val="008B14E0"/>
    <w:rPr>
      <w:b/>
      <w:bC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paragraph" w:customStyle="1" w:styleId="Default">
    <w:name w:val="Default"/>
    <w:rsid w:val="00CA781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ca.regione.lombard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ovene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tehnTO7MJxTau9jOeAcVEl/xw==">AMUW2mWm1s3nBtskqhfCA+Y2bwksmCPdNBaJAN5gDx2lx5IhlnGicRlPksk+t3IIAlLv9m7d9odohfOcIaUAd8dHBgV/lyVOczwzmngaRMB0KcHxFKjlAlbwiv0zsXsI5duC2M/gY0ko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a062015</dc:creator>
  <cp:lastModifiedBy>Federica Levorato</cp:lastModifiedBy>
  <cp:revision>4</cp:revision>
  <cp:lastPrinted>2022-06-08T13:43:00Z</cp:lastPrinted>
  <dcterms:created xsi:type="dcterms:W3CDTF">2022-06-24T12:57:00Z</dcterms:created>
  <dcterms:modified xsi:type="dcterms:W3CDTF">2022-06-30T10:36:00Z</dcterms:modified>
</cp:coreProperties>
</file>